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Project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Project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Project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Project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PFPJM1PJM20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Project Management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Project Management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Project Management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PFPJM1PJM99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use of TB3 for module delivery.</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key practical skills required as project leaders to manage the planning, monitoring and controlling of projects within a range of diverse business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an awareness and understanding of the role of innovation and digital transformation within project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prepare students to lead in an agile workplace by employing change leadership, sustainability and creativity in their practice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skills necessary to responsibly and ethically manage risks within project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necessary skills to make an immediate effective contribution upon their employment in the project management industry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strategic and comprehensive understanding of the principles and practices involved in Project, Programme and Portfolio (P3M) methodologies and the risks involved when selecting the most appropriate approach for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performance of projects, programmes, and portfolios using appropriate metrics and frameworks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strategic analysis techniques to evaluate complex project environments and inform decision-making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traditional (waterfall) programme and project management processes and utilise the key controls necessary to plan and track project and programme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in order to develop an innovative and collaborative culture to address projects within the context of digital transformation initiatives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Lead and manage diverse project teams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(to practitioner level) of the AGILE PM methodology, and understand when and how to use the correct tools and techniques associated with the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strategic alignment of projects and programmes to organisational goals, using both contemporary and classical strategic analysis tools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robust business cases to justify project initiation and guide strategic investment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the financial and benefit dimensions of projects in order to align projects with organisational goals and deliver measurable value and long-term impact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sustainability and ethics into leadership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Successfully deliver projects using an appropriate methodology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the leadership, processes and practice of sustainable change and creativity in organisations within the context of organisational development, and society in general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 sustainable perspective and apply ethical principles in managing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apply comprehensive risk management skills through identifying, assessing and managing risks within the context of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designed around three main themes, with leadership and collaboration running across all modules. The practical project will pull together learning from all three themes.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Project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Project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Benefits and Project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Innovation, Design and Digital Transformation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PRAXIS Framework 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Risks and Responsibility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Project, Programme and Portfolio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Sustainability and Creativity in Leadership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BA7777 will be required for the award of the professional placement credits.  If a student does not secure a placement or does not complete the professional placement, they will automatically be transferred to the without placement route.</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Project Management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Students will also have access to ILX, an e-learning platform which is accessible via Canvas and provides much of our asynchronous online learning content along with professional certifications in project management including PRAXIS and Agile.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QAA Master's Business &amp; Management Benchmark</w:t>
        </w:r>
      </w:hyperlink>
      <w:r w:rsidRPr="2030048C">
        <w:rPr>
          <w:rFonts w:ascii="Arial" w:eastAsia="Arial" w:hAnsi="Arial" w:cs="Arial"/>
          <w:sz w:val="22"/>
          <w:szCs w:val="22"/>
        </w:rPr>
        <w:t xml:space="preserve"> </w:t>
      </w:r>
    </w:p>
    <w:p w:rsidRPr="2030048C" w:rsidP="2030048C">
      <w:pPr>
        <w:numPr>
          <w:ilvl w:val="0"/>
          <w:numId w:val="17"/>
        </w:numPr>
        <w:ind w:left="720" w:hanging="360"/>
        <w:jc w:val="left"/>
        <w:rPr>
          <w:rFonts w:ascii="Arial" w:eastAsia="Arial" w:hAnsi="Arial" w:cs="Arial"/>
          <w:sz w:val="24"/>
          <w:szCs w:val="24"/>
        </w:rPr>
      </w:pPr>
      <w:hyperlink r:id="rId12" w:anchor=":~:text=AACSB%20Accreditation%20Overview,thought%20leadership%2C%20and%20societal%20impact." w:history="1">
        <w:r w:rsidRPr="2030048C">
          <w:rPr>
            <w:rFonts w:ascii="Arial" w:eastAsia="Arial" w:hAnsi="Arial" w:cs="Arial"/>
            <w:sz w:val="24"/>
            <w:szCs w:val="24"/>
          </w:rPr>
          <w:t>AACSB (Association to Advance Collegiate Schools of Business) Standards</w:t>
        </w:r>
      </w:hyperlink>
      <w:r w:rsidRPr="2030048C">
        <w:rPr>
          <w:rFonts w:ascii="Arial" w:eastAsia="Arial" w:hAnsi="Arial" w:cs="Arial"/>
          <w:sz w:val="22"/>
          <w:szCs w:val="22"/>
        </w:rPr>
        <w:t xml:space="preserve">  </w:t>
      </w:r>
    </w:p>
    <w:p w:rsidRPr="2030048C" w:rsidP="2030048C">
      <w:pPr>
        <w:numPr>
          <w:ilvl w:val="0"/>
          <w:numId w:val="17"/>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United Nations Sustainable Development Goals (SDGs)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20"/>
        <w:gridCol w:w="339"/>
        <w:gridCol w:w="881"/>
        <w:gridCol w:w="881"/>
        <w:gridCol w:w="881"/>
        <w:gridCol w:w="881"/>
        <w:gridCol w:w="881"/>
        <w:gridCol w:w="881"/>
        <w:gridCol w:w="881"/>
        <w:gridCol w:w="8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sustainabledevelopment/sustainable-development-goals/"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aacsb.edu/educators/accreditation/business-accreditation"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subject-benchmark-statement-business-and-management"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A36B48B-52B2-4089-B405-F51EEBEB4D0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