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28/03/2024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International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International Business Management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PFIMG1IMG02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International Business Management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International Business Management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PFIMG1IMG99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holds an international accreditation by the AACSB (Association to Advance Collegiate Schools of Business) and this programme is accredited by the EFMD Programme Accreditation System (EPAS) and by the Association of MBAs (AMBA)</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provide students with the opportunity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follow a broad-based internationally focused business management </w:t>
      </w:r>
      <w:r w:rsidRPr="2030048C">
        <w:rPr>
          <w:rStyle w:val="normaltextrun"/>
          <w:rFonts w:ascii="Arial" w:hAnsi="Arial" w:cs="Arial"/>
          <w:color w:val="000000"/>
          <w:sz w:val="24"/>
          <w:szCs w:val="24"/>
          <w:shd w:val="clear" w:color="auto" w:fill="FFFFFF"/>
        </w:rPr>
        <w:t>Masters</w:t>
      </w:r>
      <w:r w:rsidRPr="2030048C">
        <w:rPr>
          <w:rStyle w:val="normaltextrun"/>
          <w:rFonts w:ascii="Arial" w:hAnsi="Arial" w:cs="Arial"/>
          <w:color w:val="000000" w:themeColor="text1"/>
          <w:sz w:val="24"/>
          <w:szCs w:val="24"/>
          <w:shd w:val="clear" w:color="auto" w:fill="FFFFFF"/>
        </w:rPr>
        <w:t xml:space="preserve"> programme that will provide a bridge or conversion for non-business/management undergraduate degrees or top-up with some specialisation for those who have a relevant undergraduate programme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practical management skills appropriate for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academic critical skills of reflection, analysis, and evaluation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consultation and project management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in preparation for assuming management roles within organisations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 head-start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different perspectives in management and business, and the value of each standpoint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from a wide variety of sources using different techniques and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relevance and importance of international business knowledge to the business communities of a modern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analyse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ideas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explain the international, multi-cultural and globally pervasive nature of business in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business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theoretical bases of the range of business disciplines which will enable them to contribute to developments in these fields, to evaluate these developments critically, and to apply this knowledge to inform their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research and consultancy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Professional placement students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International Business Management programme requires completion of four core 30 - credit modules, along with two 15-credit core modules and two 15-credit elective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Consultancy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Global Management Practices and Careers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Operations and Financial Resources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Methods and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Agile 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ENTREPRENEURSHIP IN AN INTERNATIONAL CONTEXT (EiC)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Participatory Approaches to Solving Environmental Challenges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GG7055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 with Professional Placement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BA7777 Professional Placement will be required for the award of the professional placement credits. If a student does not secure a placement or does not complete the professional placement, they will automatically be transferred to the without placement route.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65"/>
        <w:gridCol w:w="367"/>
        <w:gridCol w:w="927"/>
        <w:gridCol w:w="941"/>
        <w:gridCol w:w="941"/>
        <w:gridCol w:w="927"/>
        <w:gridCol w:w="927"/>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are 2 approved entry points : September and January</w:t>
      </w:r>
    </w:p>
    <w:p w:rsidRPr="2030048C" w:rsidP="2030048C">
      <w:pPr>
        <w:rPr>
          <w:rFonts w:ascii="Arial" w:eastAsia="Arial" w:hAnsi="Arial" w:cs="Arial"/>
          <w:sz w:val="24"/>
          <w:szCs w:val="24"/>
        </w:rPr>
      </w:pPr>
      <w:r w:rsidRPr="2030048C">
        <w:rPr>
          <w:rFonts w:ascii="Arial" w:eastAsia="Arial" w:hAnsi="Arial" w:cs="Arial"/>
          <w:sz w:val="24"/>
          <w:szCs w:val="24"/>
        </w:rPr>
        <w:t>The order for Sept and Jan intake are the same and would be as following: </w:t>
      </w:r>
    </w:p>
    <w:p w:rsidRPr="2030048C" w:rsidP="2030048C">
      <w:pPr>
        <w:rPr>
          <w:rFonts w:ascii="Arial" w:eastAsia="Arial" w:hAnsi="Arial" w:cs="Arial"/>
          <w:sz w:val="24"/>
          <w:szCs w:val="24"/>
        </w:rPr>
      </w:pPr>
      <w:r w:rsidRPr="2030048C">
        <w:rPr>
          <w:rFonts w:ascii="Arial" w:eastAsia="Arial" w:hAnsi="Arial" w:cs="Arial"/>
          <w:b/>
          <w:bCs/>
          <w:sz w:val="24"/>
          <w:szCs w:val="24"/>
        </w:rPr>
        <w:t>TB1</w:t>
      </w:r>
      <w:r w:rsidRPr="2030048C">
        <w:rPr>
          <w:rFonts w:ascii="Arial" w:eastAsia="Arial" w:hAnsi="Arial" w:cs="Arial"/>
          <w:sz w:val="24"/>
          <w:szCs w:val="24"/>
        </w:rPr>
        <w:br/>
      </w:r>
      <w:r w:rsidRPr="2030048C">
        <w:rPr>
          <w:rFonts w:ascii="Arial" w:eastAsia="Arial" w:hAnsi="Arial" w:cs="Arial"/>
          <w:sz w:val="24"/>
          <w:szCs w:val="24"/>
        </w:rPr>
        <w:t>International Business &amp; Trade                          13713 15 Core module</w:t>
      </w:r>
    </w:p>
    <w:p w:rsidRPr="2030048C" w:rsidP="2030048C">
      <w:pPr>
        <w:rPr>
          <w:rFonts w:ascii="Arial" w:eastAsia="Arial" w:hAnsi="Arial" w:cs="Arial"/>
          <w:sz w:val="24"/>
          <w:szCs w:val="24"/>
        </w:rPr>
      </w:pPr>
      <w:r w:rsidRPr="2030048C">
        <w:rPr>
          <w:rFonts w:ascii="Arial" w:eastAsia="Arial" w:hAnsi="Arial" w:cs="Arial"/>
          <w:sz w:val="24"/>
          <w:szCs w:val="24"/>
        </w:rPr>
        <w:t>Managing Operations and Financial Resources BA7013 30 Core module</w:t>
      </w:r>
    </w:p>
    <w:p w:rsidRPr="2030048C" w:rsidP="2030048C">
      <w:pPr>
        <w:rPr>
          <w:rFonts w:ascii="Arial" w:eastAsia="Arial" w:hAnsi="Arial" w:cs="Arial"/>
          <w:sz w:val="24"/>
          <w:szCs w:val="24"/>
        </w:rPr>
      </w:pPr>
      <w:r w:rsidRPr="2030048C">
        <w:rPr>
          <w:rFonts w:ascii="Arial" w:eastAsia="Arial" w:hAnsi="Arial" w:cs="Arial"/>
          <w:sz w:val="24"/>
          <w:szCs w:val="24"/>
        </w:rPr>
        <w:t>International Marketing                                       BM7037 15 Optional </w:t>
      </w:r>
    </w:p>
    <w:tbl>
      <w:tblPr>
        <w:tblCellSpacing w:w="15" w:type="dxa"/>
        <w:tblCellMar>
          <w:top w:w="15" w:type="dxa"/>
          <w:left w:w="15" w:type="dxa"/>
          <w:bottom w:w="15" w:type="dxa"/>
          <w:right w:w="15" w:type="dxa"/>
        </w:tblCellMar>
      </w:tblPr>
      <w:tblGrid>
        <w:gridCol w:w="5013"/>
        <w:gridCol w:w="885"/>
        <w:gridCol w:w="297"/>
        <w:gridCol w:w="992"/>
        <w:gridCol w:w="97"/>
      </w:tblGrid>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Entrepreneurship in an international context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BS7104</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15</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Optional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b/>
          <w:bCs/>
          <w:sz w:val="24"/>
          <w:szCs w:val="24"/>
        </w:rPr>
        <w:t>TB2 </w:t>
      </w:r>
    </w:p>
    <w:p w:rsidRPr="2030048C" w:rsidP="2030048C">
      <w:pPr>
        <w:rPr>
          <w:rFonts w:ascii="Arial" w:eastAsia="Arial" w:hAnsi="Arial" w:cs="Arial"/>
          <w:sz w:val="24"/>
          <w:szCs w:val="24"/>
        </w:rPr>
      </w:pPr>
      <w:r w:rsidRPr="2030048C">
        <w:rPr>
          <w:rFonts w:ascii="Arial" w:eastAsia="Arial" w:hAnsi="Arial" w:cs="Arial"/>
          <w:sz w:val="24"/>
          <w:szCs w:val="24"/>
        </w:rPr>
        <w:t>Global Management Practices and Careers 13714      30   Core</w:t>
      </w:r>
    </w:p>
    <w:p w:rsidRPr="2030048C" w:rsidP="2030048C">
      <w:pPr>
        <w:rPr>
          <w:rFonts w:ascii="Arial" w:eastAsia="Arial" w:hAnsi="Arial" w:cs="Arial"/>
          <w:sz w:val="24"/>
          <w:szCs w:val="24"/>
        </w:rPr>
      </w:pPr>
      <w:r w:rsidRPr="2030048C">
        <w:rPr>
          <w:rFonts w:ascii="Arial" w:eastAsia="Arial" w:hAnsi="Arial" w:cs="Arial"/>
          <w:sz w:val="24"/>
          <w:szCs w:val="24"/>
        </w:rPr>
        <w:t>International Business Strategy                     BS7014   15   Core</w:t>
      </w:r>
    </w:p>
    <w:p w:rsidRPr="2030048C" w:rsidP="2030048C">
      <w:pPr>
        <w:rPr>
          <w:rFonts w:ascii="Arial" w:eastAsia="Arial" w:hAnsi="Arial" w:cs="Arial"/>
          <w:sz w:val="24"/>
          <w:szCs w:val="24"/>
        </w:rPr>
      </w:pPr>
      <w:r w:rsidRPr="2030048C">
        <w:rPr>
          <w:rFonts w:ascii="Arial" w:eastAsia="Arial" w:hAnsi="Arial" w:cs="Arial"/>
          <w:sz w:val="24"/>
          <w:szCs w:val="24"/>
        </w:rPr>
        <w:t>Agile Project Management                             BB7010 15 Optional  </w:t>
      </w:r>
    </w:p>
    <w:p w:rsidRPr="2030048C" w:rsidP="2030048C">
      <w:pPr>
        <w:rPr>
          <w:rFonts w:ascii="Arial" w:eastAsia="Arial" w:hAnsi="Arial" w:cs="Arial"/>
          <w:sz w:val="24"/>
          <w:szCs w:val="24"/>
        </w:rPr>
      </w:pPr>
      <w:r w:rsidRPr="2030048C">
        <w:rPr>
          <w:rFonts w:ascii="Arial" w:eastAsia="Arial" w:hAnsi="Arial" w:cs="Arial"/>
          <w:sz w:val="24"/>
          <w:szCs w:val="24"/>
        </w:rPr>
        <w:t>Participatory Approaches to Solving Environmental Challenges  GG7055       15    Optional</w:t>
      </w:r>
    </w:p>
    <w:p w:rsidRPr="2030048C" w:rsidP="2030048C">
      <w:pPr>
        <w:rPr>
          <w:rFonts w:ascii="Arial" w:eastAsia="Arial" w:hAnsi="Arial" w:cs="Arial"/>
          <w:sz w:val="24"/>
          <w:szCs w:val="24"/>
        </w:rPr>
      </w:pPr>
      <w:r w:rsidRPr="2030048C">
        <w:rPr>
          <w:rFonts w:ascii="Arial" w:eastAsia="Arial" w:hAnsi="Arial" w:cs="Arial"/>
          <w:b/>
          <w:bCs/>
          <w:sz w:val="24"/>
          <w:szCs w:val="24"/>
        </w:rPr>
        <w:t>TB3</w:t>
      </w:r>
    </w:p>
    <w:p w:rsidRPr="2030048C" w:rsidP="2030048C">
      <w:pPr>
        <w:rPr>
          <w:rFonts w:ascii="Arial" w:eastAsia="Arial" w:hAnsi="Arial" w:cs="Arial"/>
          <w:sz w:val="24"/>
          <w:szCs w:val="24"/>
        </w:rPr>
      </w:pPr>
      <w:r w:rsidRPr="2030048C">
        <w:rPr>
          <w:rFonts w:ascii="Arial" w:eastAsia="Arial" w:hAnsi="Arial" w:cs="Arial"/>
          <w:sz w:val="24"/>
          <w:szCs w:val="24"/>
        </w:rPr>
        <w:t>Consultancy in Practice                                  BS7032    30                  Core</w:t>
      </w:r>
    </w:p>
    <w:p w:rsidRPr="2030048C" w:rsidP="2030048C">
      <w:pPr>
        <w:rPr>
          <w:rFonts w:ascii="Arial" w:eastAsia="Arial" w:hAnsi="Arial" w:cs="Arial"/>
          <w:sz w:val="24"/>
          <w:szCs w:val="24"/>
        </w:rPr>
      </w:pPr>
      <w:r w:rsidRPr="2030048C">
        <w:rPr>
          <w:rFonts w:ascii="Arial" w:eastAsia="Arial" w:hAnsi="Arial" w:cs="Arial"/>
          <w:sz w:val="24"/>
          <w:szCs w:val="24"/>
        </w:rPr>
        <w:t>Research Methods and Business Analytics   BB7016     30                  Core</w:t>
      </w:r>
    </w:p>
    <w:p w:rsidRPr="2030048C" w:rsidP="2030048C">
      <w:pPr>
        <w:rPr>
          <w:rFonts w:ascii="Arial" w:eastAsia="Arial" w:hAnsi="Arial" w:cs="Arial"/>
          <w:sz w:val="24"/>
          <w:szCs w:val="24"/>
        </w:rPr>
      </w:pPr>
      <w:r w:rsidRPr="2030048C">
        <w:rPr>
          <w:rFonts w:ascii="Arial" w:eastAsia="Arial" w:hAnsi="Arial" w:cs="Arial"/>
          <w:sz w:val="24"/>
          <w:szCs w:val="24"/>
        </w:rPr>
        <w:t>Professional Placement                                 BA7777    120                 Year long   Optional</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C7168F8-7D4E-4E29-AE7F-47603C8FEFB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