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Leadership and Management in Health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31/07/2010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Leadership and Management in Health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 Cert Leadership and Management in Health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 Dip Leadership and Management in Health</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This programme is approved to use 15-credit modules.</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spacing w:before="0" w:after="0"/>
        <w:ind w:left="0" w:right="0"/>
        <w:rPr>
          <w:rStyle w:val="normaltextrun"/>
          <w:rFonts w:ascii="Arial" w:eastAsia="Arial" w:hAnsi="Arial" w:cs="Arial"/>
          <w:i/>
          <w:iCs/>
          <w:color w:val="000000" w:themeColor="text1"/>
          <w:sz w:val="24"/>
          <w:szCs w:val="24"/>
          <w:shd w:val="clear" w:color="auto" w:fill="FFFFFF"/>
        </w:rPr>
      </w:pPr>
    </w:p>
    <w:p w:rsidRPr="2030048C" w:rsidP="2030048C">
      <w:pPr>
        <w:pStyle w:val="ListParagraph0"/>
        <w:spacing w:before="0" w:after="0"/>
        <w:ind w:left="72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specific aims of the Leadership and Management in Health programme vary according to the award being studied, but common aims among all awards are:</w:t>
      </w:r>
    </w:p>
    <w:p w:rsidRPr="2030048C" w:rsidP="2030048C">
      <w:pPr>
        <w:pStyle w:val="ListParagraph0"/>
        <w:numPr>
          <w:ilvl w:val="0"/>
          <w:numId w:val="12"/>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equip students with the knowledge and skills required to enable them to enter and/or continue at a more competent level in the professional practice of health management.</w:t>
      </w:r>
    </w:p>
    <w:p w:rsidRPr="2030048C" w:rsidP="2030048C">
      <w:pPr>
        <w:pStyle w:val="ListParagraph0"/>
        <w:numPr>
          <w:ilvl w:val="0"/>
          <w:numId w:val="12"/>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a critical understanding of the body of appropriate academic knowledge relevant to leadership and management and its application in practice.</w:t>
      </w:r>
    </w:p>
    <w:p w:rsidRPr="2030048C" w:rsidP="2030048C">
      <w:pPr>
        <w:pStyle w:val="ListParagraph0"/>
        <w:spacing w:before="0" w:after="0"/>
        <w:ind w:left="72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further aims for the PgCert are:</w:t>
      </w:r>
    </w:p>
    <w:p w:rsidRPr="2030048C" w:rsidP="2030048C">
      <w:pPr>
        <w:pStyle w:val="ListParagraph0"/>
        <w:numPr>
          <w:ilvl w:val="0"/>
          <w:numId w:val="13"/>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students with an understanding of the context of strategic health management and governance issues</w:t>
      </w:r>
    </w:p>
    <w:p w:rsidRPr="2030048C" w:rsidP="2030048C">
      <w:pPr>
        <w:pStyle w:val="ListParagraph0"/>
        <w:numPr>
          <w:ilvl w:val="0"/>
          <w:numId w:val="13"/>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develop their leadership competency and ability to manage change</w:t>
      </w:r>
    </w:p>
    <w:p w:rsidRPr="2030048C" w:rsidP="2030048C">
      <w:pPr>
        <w:pStyle w:val="ListParagraph0"/>
        <w:numPr>
          <w:ilvl w:val="0"/>
          <w:numId w:val="13"/>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understand the various concepts of quality in relation health services</w:t>
      </w:r>
    </w:p>
    <w:p w:rsidRPr="2030048C" w:rsidP="2030048C">
      <w:pPr>
        <w:pStyle w:val="ListParagraph0"/>
        <w:spacing w:before="0" w:after="0"/>
        <w:ind w:left="72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 xml:space="preserve">The further aims for the </w:t>
      </w:r>
      <w:r w:rsidRPr="2030048C">
        <w:rPr>
          <w:rStyle w:val="normaltextrun"/>
          <w:rFonts w:ascii="Arial" w:eastAsia="Arial" w:hAnsi="Arial" w:cs="Arial"/>
          <w:color w:val="000000" w:themeColor="text1"/>
          <w:sz w:val="22"/>
          <w:szCs w:val="22"/>
          <w:shd w:val="clear" w:color="auto" w:fill="FFFFFF"/>
        </w:rPr>
        <w:t>PgDip</w:t>
      </w:r>
      <w:r w:rsidRPr="2030048C">
        <w:rPr>
          <w:rStyle w:val="normaltextrun"/>
          <w:rFonts w:ascii="Arial" w:eastAsia="Arial" w:hAnsi="Arial" w:cs="Arial"/>
          <w:color w:val="000000" w:themeColor="text1"/>
          <w:sz w:val="22"/>
          <w:szCs w:val="22"/>
          <w:shd w:val="clear" w:color="auto" w:fill="FFFFFF"/>
        </w:rPr>
        <w:t xml:space="preserve"> are:</w:t>
      </w:r>
    </w:p>
    <w:p w:rsidRPr="2030048C" w:rsidP="2030048C">
      <w:pPr>
        <w:pStyle w:val="ListParagraph0"/>
        <w:numPr>
          <w:ilvl w:val="0"/>
          <w:numId w:val="14"/>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students with an understanding of the sources and uses for information in healthcare, and of the tools available for its capture and manipulation</w:t>
      </w:r>
    </w:p>
    <w:p w:rsidRPr="2030048C" w:rsidP="2030048C">
      <w:pPr>
        <w:pStyle w:val="ListParagraph0"/>
        <w:numPr>
          <w:ilvl w:val="0"/>
          <w:numId w:val="14"/>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impart an understanding of how money enters healthcare, how it is distributed and of mechanisms for assessing the value of and reasons for investment</w:t>
      </w:r>
    </w:p>
    <w:p w:rsidRPr="2030048C" w:rsidP="2030048C">
      <w:pPr>
        <w:pStyle w:val="ListParagraph0"/>
        <w:numPr>
          <w:ilvl w:val="0"/>
          <w:numId w:val="14"/>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inform students about evidence based marketing practice from the private sector having an application improve public service design and delivery</w:t>
      </w:r>
    </w:p>
    <w:p w:rsidRPr="2030048C" w:rsidP="2030048C">
      <w:pPr>
        <w:pStyle w:val="ListParagraph0"/>
        <w:spacing w:before="0" w:after="0"/>
        <w:ind w:left="720" w:right="0"/>
        <w:rPr>
          <w:rStyle w:val="normaltextrun"/>
          <w:rFonts w:ascii="Arial" w:eastAsia="Arial" w:hAnsi="Arial" w:cs="Arial"/>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The further aims for the MSc are:</w:t>
      </w:r>
    </w:p>
    <w:p w:rsidRPr="2030048C" w:rsidP="2030048C">
      <w:pPr>
        <w:pStyle w:val="ListParagraph0"/>
        <w:numPr>
          <w:ilvl w:val="0"/>
          <w:numId w:val="15"/>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further extend the range of practical skills acquired</w:t>
      </w:r>
    </w:p>
    <w:p w:rsidRPr="2030048C" w:rsidP="2030048C">
      <w:pPr>
        <w:pStyle w:val="ListParagraph0"/>
        <w:numPr>
          <w:ilvl w:val="0"/>
          <w:numId w:val="15"/>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impart knowledge about the various research methods that are available to support original workplace projects</w:t>
      </w:r>
    </w:p>
    <w:p w:rsidRPr="2030048C" w:rsidP="2030048C">
      <w:pPr>
        <w:pStyle w:val="ListParagraph0"/>
        <w:numPr>
          <w:ilvl w:val="0"/>
          <w:numId w:val="15"/>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advise students of the ethical considerations that are required when gathering/using sensitive data or to implement change</w:t>
      </w:r>
    </w:p>
    <w:p w:rsidRPr="2030048C" w:rsidP="2030048C">
      <w:pPr>
        <w:pStyle w:val="ListParagraph0"/>
        <w:numPr>
          <w:ilvl w:val="0"/>
          <w:numId w:val="15"/>
        </w:numPr>
        <w:pBdr>
          <w:left w:val="none" w:sz="0" w:space="7" w:color="auto"/>
        </w:pBdr>
        <w:spacing w:before="0" w:after="0"/>
        <w:ind w:left="1287" w:right="0"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Arial" w:eastAsia="Arial" w:hAnsi="Arial" w:cs="Arial"/>
          <w:color w:val="000000" w:themeColor="text1"/>
          <w:sz w:val="22"/>
          <w:szCs w:val="22"/>
          <w:shd w:val="clear" w:color="auto" w:fill="FFFFFF"/>
        </w:rPr>
        <w:t>To provide an opportunity to research a specific area of leadership and management in health in depth by means of a Masters level dissertation.</w:t>
      </w:r>
    </w:p>
    <w:p w:rsidRPr="2030048C" w:rsidP="2030048C">
      <w:pPr>
        <w:pStyle w:val="ListParagraph0"/>
        <w:spacing w:before="0" w:after="0"/>
        <w:ind w:left="0" w:right="0"/>
        <w:rPr>
          <w:rStyle w:val="normaltextrun"/>
          <w:rFonts w:ascii="Arial" w:eastAsia="Arial" w:hAnsi="Arial" w:cs="Arial"/>
          <w:b/>
          <w:bCs/>
          <w:color w:val="000000" w:themeColor="text1"/>
          <w:sz w:val="22"/>
          <w:szCs w:val="22"/>
          <w:shd w:val="clear" w:color="auto" w:fill="FFFFFF"/>
        </w:rPr>
      </w:pP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MSc level:Demonstrate knowledge and critical understanding of how to undertake independent research that contributes to the development of management practices based on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critical self-reflection of the learning process and experience, and demonstrate how this reflection and learning can be utilised to enhance future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utilise appropriate research strategies, methods and sources of data and information in order to formulate, design, manage and execute a substantial research project, and present and communicate the research findings in an appropriate form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PgDip and MSc levels:Demonstrate knowledge and critical understanding of how public and private sector finance and how to apply principles appropriately to cost management and budget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issues, problems and opportunities associated with the healthcare sector and how the various functions within healthcare commissioning and provision can work collaboratively to address these.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of analysis and synthesis, and apply them to issues and decisions associated with the healthcare sector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PgDip and MSc levels:Demonstrate knowledge and critical understanding of how evidence can be used to inform and evaluate practice of leadership and management in health.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interpret and healthcare activity, finance and associated data and information sources and demonstrate a critical awareness of the relevance and limitations of such analyses.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in written and oral forms in English in a business context.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PgDip and MSc levels:Demonstrate knowledge and critical understanding of how information can be used to make well-informed decisions as a strategic manager.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PgDip and MSc levels:Demonstrate knowledge and critical understanding of models and strategies to lead and manage change and innovation in service delivery.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All levels:Demonstrate knowledge and critical understanding of how service quality and performance is measured, monitored and achieved.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All levels:Demonstrate knowledge and critical understanding of the key factors influencing human behaviour in organisations at individual, group and organisational level.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All levels:Demonstrate knowledge and critical understanding of the changing contexts of health services requirements from different stakeholder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PgDip and MSc levels:Demonstrate knowledge and critical understanding of how to apply marketing principles appropriately to public, private and voluntary sector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All levels:Demonstrate knowledge and critical understanding of the social, economic, political, ethical and technological developments which inform and influence health services strategy, policy,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MSc programme consists of seven modules. </w:t>
      </w:r>
    </w:p>
    <w:p w:rsidRPr="2030048C" w:rsidP="2030048C">
      <w:pPr>
        <w:pStyle w:val="BlockText"/>
        <w:ind w:left="0" w:righ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minimum requirement for a Postgraduate Certificate is 60 credits, gained by completing year 1 of the programme, comprising one 30 credit points module and two 15 credit points modules.</w:t>
      </w:r>
    </w:p>
    <w:p w:rsidRPr="2030048C" w:rsidP="2030048C">
      <w:pPr>
        <w:pStyle w:val="BlockText"/>
        <w:ind w:left="0" w:righ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minimum requirement for a </w:t>
      </w:r>
      <w:r w:rsidRPr="2030048C">
        <w:rPr>
          <w:rFonts w:ascii="Arial" w:eastAsia="Arial" w:hAnsi="Arial" w:cs="Arial"/>
          <w:color w:val="000000" w:themeColor="text1" w:themeShade="FF" w:themeTint="FF"/>
          <w:sz w:val="24"/>
          <w:szCs w:val="24"/>
        </w:rPr>
        <w:t>PgDip</w:t>
      </w:r>
      <w:r w:rsidRPr="2030048C">
        <w:rPr>
          <w:rFonts w:ascii="Arial" w:eastAsia="Arial" w:hAnsi="Arial" w:cs="Arial"/>
          <w:color w:val="000000" w:themeColor="text1" w:themeShade="FF" w:themeTint="FF"/>
          <w:sz w:val="24"/>
          <w:szCs w:val="24"/>
        </w:rPr>
        <w:t xml:space="preserve"> is 120 credits; this is gained by also completing the second year of the programme, comprising one 30 credit module and two 15 credit modules. </w:t>
      </w:r>
    </w:p>
    <w:p w:rsidRPr="2030048C" w:rsidP="2030048C">
      <w:pPr>
        <w:pStyle w:val="BlockText"/>
        <w:ind w:left="0" w:righ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complete the MSc programme, the student must also take the 60 credit Research Methods and Dissertation module in the second year.</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A student must complete 180 credits for a </w:t>
      </w:r>
      <w:r w:rsidRPr="2030048C">
        <w:rPr>
          <w:rFonts w:ascii="Arial" w:eastAsia="Arial" w:hAnsi="Arial" w:cs="Arial"/>
          <w:color w:val="000000" w:themeColor="text1" w:themeShade="FF" w:themeTint="FF"/>
          <w:sz w:val="24"/>
          <w:szCs w:val="24"/>
        </w:rPr>
        <w:t>Masters</w:t>
      </w:r>
      <w:r w:rsidRPr="2030048C">
        <w:rPr>
          <w:rFonts w:ascii="Arial" w:eastAsia="Arial" w:hAnsi="Arial" w:cs="Arial"/>
          <w:color w:val="000000" w:themeColor="text1" w:themeShade="FF" w:themeTint="FF"/>
          <w:sz w:val="24"/>
          <w:szCs w:val="24"/>
        </w:rPr>
        <w:t xml:space="preserve"> degree. </w:t>
      </w:r>
    </w:p>
    <w:p w:rsidRPr="2030048C" w:rsidP="2030048C">
      <w:pPr>
        <w:pStyle w:val="BlockText"/>
        <w:ind w:left="0" w:righ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is provided in the module descriptor</w:t>
      </w:r>
      <w:r w:rsidRPr="2030048C">
        <w:rPr>
          <w:rFonts w:ascii="Arial" w:eastAsia="Arial" w:hAnsi="Arial" w:cs="Arial"/>
          <w:color w:val="000000" w:themeColor="text1" w:themeShade="FF" w:themeTint="FF"/>
          <w:sz w:val="24"/>
          <w:szCs w:val="24"/>
        </w:rPr>
        <w:t>s and student module handbooks.                   </w:t>
      </w:r>
    </w:p>
    <w:p w:rsidRPr="2030048C" w:rsidP="2030048C">
      <w:pPr>
        <w:pStyle w:val="BlockText"/>
        <w:ind w:left="0" w:right="0"/>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Leadership and Management in Health</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Leadership and Management in Health</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Aspects of Financial Management in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BA7305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HEALTH SERVICES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BM7309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Leading people and organizational change in healthcare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HEALTH SERVICES FOR QUALITY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BO7304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MANAGING INFORMATION IN HEALTH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BB7303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Methods and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BH7636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HEALTH MANAGEMENT AND GOVERNANCE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BH7314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BlockText"/>
        <w:ind w:left="0" w:right="0"/>
        <w:jc w:val="both"/>
        <w:rPr>
          <w:rFonts w:ascii="Arial" w:eastAsia="Arial" w:hAnsi="Arial" w:cs="Arial"/>
          <w:sz w:val="24"/>
          <w:szCs w:val="24"/>
        </w:rPr>
      </w:pPr>
      <w:r w:rsidRPr="2030048C">
        <w:rPr>
          <w:rFonts w:ascii="Arial" w:eastAsia="Arial" w:hAnsi="Arial" w:cs="Arial"/>
          <w:sz w:val="24"/>
          <w:szCs w:val="24"/>
        </w:rPr>
        <w:t>The learning process comprises the following: tutor-led learning through classroom contact time, tutor-directed independent study, and student-determined independent study. Tutor-led classroom sessions are used to facilitate the reinforcement of key concepts and principles to which students will have been introduced in directed preparatory reading in the associated study packs and/or text books provided. Various participative teaching methods are used in these sessions, such as case study discussions, role play exercises, computer laboratories, and group exercises with feedback presentations. This approach is promoted as the most appropriate way of encouraging understanding, analytical thinking and reflection on the underpinning theoretical frameworks, and their application to management practice, using the students’ own experience of a range of organisational contexts. Tutor-directed or student-determined independent study associated with reading and research for coursework enables students to assimilate further the knowledge and reflect on its application. Library and website searches, substantial primary research undertaken within an organisation and informal study groups are used to facilitate this process. Students are encouraged to participate in the lectures and seminars held by the SWAN institutes and other activities provided by KU and the alliance partners.</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The course supports the use of a</w:t>
      </w:r>
      <w:r w:rsidRPr="2030048C">
        <w:rPr>
          <w:rFonts w:ascii="Arial" w:eastAsia="Arial" w:hAnsi="Arial" w:cs="Arial"/>
          <w:sz w:val="24"/>
          <w:szCs w:val="24"/>
        </w:rPr>
        <w:t>ction learning sets to develop “</w:t>
      </w:r>
      <w:r w:rsidRPr="2030048C">
        <w:rPr>
          <w:rFonts w:ascii="Arial" w:eastAsia="Arial" w:hAnsi="Arial" w:cs="Arial"/>
          <w:sz w:val="24"/>
          <w:szCs w:val="24"/>
        </w:rPr>
        <w:t>communities of practice” within each cohort of students in order to provide for mutual support and encouragement, sharing of learning, and in recognition of the fact that learning is a social process, not simply or even predominantly an individual one.</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 xml:space="preserve">The programme is supported by blended learning materials to maximise flexibility and access. The course team is experienced in the use of </w:t>
      </w:r>
      <w:r w:rsidRPr="2030048C">
        <w:rPr>
          <w:rFonts w:ascii="Arial" w:eastAsia="Arial" w:hAnsi="Arial" w:cs="Arial"/>
          <w:sz w:val="24"/>
          <w:szCs w:val="24"/>
        </w:rPr>
        <w:t>Canvas</w:t>
      </w:r>
      <w:r w:rsidRPr="2030048C">
        <w:rPr>
          <w:rFonts w:ascii="Arial" w:eastAsia="Arial" w:hAnsi="Arial" w:cs="Arial"/>
          <w:sz w:val="24"/>
          <w:szCs w:val="24"/>
        </w:rPr>
        <w:t xml:space="preserve"> Learning Management System which is available to both tutors and students either whilst on the campus or from home or work. Advantages for students include access to course materials whenever and wherever they are; flexibility of study time; reduced need to attend classes (which can also be scheduled at more convenient times); ready access to tutors, and peers through email and bulletin-board facilities. For tutors, ICT provides a ready means for distributing course materials; communicating with students; responding to general enquiries in a format accessible to all students. </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 xml:space="preserve">The programme also </w:t>
      </w:r>
      <w:r w:rsidRPr="2030048C">
        <w:rPr>
          <w:rFonts w:ascii="Arial" w:eastAsia="Arial" w:hAnsi="Arial" w:cs="Arial"/>
          <w:sz w:val="24"/>
          <w:szCs w:val="24"/>
        </w:rPr>
        <w:t xml:space="preserve">encourages Technology Enhanced </w:t>
      </w:r>
      <w:r w:rsidRPr="2030048C">
        <w:rPr>
          <w:rFonts w:ascii="Arial" w:eastAsia="Arial" w:hAnsi="Arial" w:cs="Arial"/>
          <w:sz w:val="24"/>
          <w:szCs w:val="24"/>
        </w:rPr>
        <w:t>Learning through the use of online resources and discussion forums as well as tutor facilitated online group learning.</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 xml:space="preserve">To reflect the participative approach to achieving the teaching and learning outcomes, summative assessment of each module takes a variety of forms: individual and group exercises, computer-based tasks, case studies, and written reports. Throughout there is an emphasis on the application of skills and knowledge to work-based contexts and constraints. </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All students have the opportunity to explore the application of theory to practice through the major assessment vehicles for the award of the Postgraduate Diploma. Several of these require students to identify an organisation as the focus of their research. This will often be the students’ own organisation, or it may involve visits to a different organisation to conduct primary research with key personnel in order to investigate the issues identified. Students progressing to MSc may locate their research project within their own organisation or spend several weeks in a host organisation undertaking research for their dissertation.</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 xml:space="preserve">The assessment strategy reflects the aims and learning outcomes of the programme. It is designed to assess the knowledge and skills essential to meet the overall requirements of a </w:t>
      </w:r>
      <w:r w:rsidRPr="2030048C">
        <w:rPr>
          <w:rFonts w:ascii="Arial" w:eastAsia="Arial" w:hAnsi="Arial" w:cs="Arial"/>
          <w:sz w:val="24"/>
          <w:szCs w:val="24"/>
        </w:rPr>
        <w:t>Masters</w:t>
      </w:r>
      <w:r w:rsidRPr="2030048C">
        <w:rPr>
          <w:rFonts w:ascii="Arial" w:eastAsia="Arial" w:hAnsi="Arial" w:cs="Arial"/>
          <w:sz w:val="24"/>
          <w:szCs w:val="24"/>
        </w:rPr>
        <w:t xml:space="preserve"> degree, as well as the specific knowledge requirements of individual subject modules.</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pStyle w:val="BlockText"/>
        <w:ind w:left="0" w:right="0"/>
        <w:jc w:val="both"/>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pStyle w:val="BlockText"/>
        <w:ind w:right="0"/>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Module leader for each module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Course Director to help students understand the programme structure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Personal Tutor through the Course Director</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 designated programme administrator</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An induction session at the beginning of the programme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BLASC (Business and Law Academic Skills Centre)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Canvas</w:t>
      </w:r>
      <w:r w:rsidRPr="2030048C">
        <w:rPr>
          <w:rFonts w:ascii="Arial" w:eastAsia="Arial" w:hAnsi="Arial" w:cs="Arial"/>
          <w:sz w:val="24"/>
          <w:szCs w:val="24"/>
        </w:rPr>
        <w:t xml:space="preserve"> – a versatile on-line interactive intranet and learning environment</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Student support facilities that provide advice on issues such as finance, regulations, legal matters, accommodation, international student support etc.</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The Students’ Union</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 xml:space="preserve">Guest speakers from other academic institutions, the professions. </w:t>
      </w:r>
    </w:p>
    <w:p w:rsidRPr="2030048C" w:rsidP="2030048C">
      <w:pPr>
        <w:numPr>
          <w:ilvl w:val="0"/>
          <w:numId w:val="17"/>
        </w:numPr>
        <w:ind w:left="720" w:right="0" w:hanging="360"/>
        <w:jc w:val="both"/>
        <w:rPr>
          <w:rFonts w:ascii="Arial" w:eastAsia="Arial" w:hAnsi="Arial" w:cs="Arial"/>
          <w:sz w:val="24"/>
          <w:szCs w:val="24"/>
        </w:rPr>
      </w:pPr>
      <w:r w:rsidRPr="2030048C">
        <w:rPr>
          <w:rFonts w:ascii="Arial" w:eastAsia="Arial" w:hAnsi="Arial" w:cs="Arial"/>
          <w:sz w:val="24"/>
          <w:szCs w:val="24"/>
        </w:rPr>
        <w:t>The Faculty runs a ‘Strategy into Practice’ lecture series which take place every Thursday and involve senior representatives from a range of companies attending the University to speak to students.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765"/>
        <w:gridCol w:w="487"/>
        <w:gridCol w:w="941"/>
        <w:gridCol w:w="941"/>
        <w:gridCol w:w="967"/>
        <w:gridCol w:w="954"/>
        <w:gridCol w:w="941"/>
        <w:gridCol w:w="941"/>
        <w:gridCol w:w="94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BH7636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BB7303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BM7309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BH7314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BA7305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rPr>
      <w:rFonts w:ascii="Arial" w:eastAsia="Arial" w:hAnsi="Arial" w:cs="Arial"/>
      <w:sz w:val="22"/>
      <w:szCs w:val="22"/>
    </w:rPr>
  </w:style>
  <w:style w:type="paragraph" w:customStyle="1" w:styleId="BlockText">
    <w:name w:val="Block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6B982AA-1044-44FB-9634-4DF0E6F8922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