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Public Relations and Corporate Communications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30/06/2012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16/09/2024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Public Relations and Corporate Communications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Public Relations and Corporate Communications</w:t>
            </w:r>
            <w:r>
              <w:br/>
            </w:r>
            <w:r w:rsidRPr="01DA1EA0" w:rsidR="12C816DE">
              <w:rPr>
                <w:rFonts w:ascii="Arial" w:hAnsi="Arial" w:cs="Arial"/>
                <w:sz w:val="22"/>
                <w:szCs w:val="22"/>
              </w:rPr>
              <w:t>Postgraduate Certificate in Public Relations and Corporate CommunicationsPostgraduate Certificate in Communication Studies</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PFPRC1PRC01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minimum entry qualification for the MA Public Relations and </w:t>
            </w:r>
            <w:r>
              <w:rPr>
                <w:rStyle w:val="normaltextrun"/>
                <w:rFonts w:ascii="Arial" w:hAnsi="Arial" w:cs="Arial"/>
                <w:color w:val="000000"/>
                <w:sz w:val="22"/>
                <w:szCs w:val="22"/>
                <w:shd w:val="clear" w:color="auto" w:fill="FFFFFF"/>
              </w:rPr>
              <w:t xml:space="preserve">Corporate Communications is a </w:t>
            </w:r>
            <w:r>
              <w:rPr>
                <w:rStyle w:val="normaltextrun"/>
                <w:rFonts w:ascii="Arial" w:hAnsi="Arial" w:cs="Arial"/>
                <w:color w:val="000000"/>
                <w:sz w:val="22"/>
                <w:szCs w:val="22"/>
                <w:shd w:val="clear" w:color="auto" w:fill="FFFFFF"/>
              </w:rPr>
              <w:t>Bachelor’s</w:t>
            </w:r>
            <w:r>
              <w:rPr>
                <w:rStyle w:val="normaltextrun"/>
                <w:rFonts w:ascii="Arial" w:hAnsi="Arial" w:cs="Arial"/>
                <w:color w:val="000000"/>
                <w:sz w:val="22"/>
                <w:szCs w:val="22"/>
                <w:shd w:val="clear" w:color="auto" w:fill="FFFFFF"/>
              </w:rPr>
              <w:t xml:space="preserve"> degree in any discipline at </w:t>
            </w:r>
            <w:r>
              <w:rPr>
                <w:rStyle w:val="normaltextrun"/>
                <w:rFonts w:ascii="Arial" w:hAnsi="Arial" w:cs="Arial"/>
                <w:color w:val="000000"/>
                <w:sz w:val="22"/>
                <w:szCs w:val="22"/>
                <w:shd w:val="clear" w:color="auto" w:fill="FFFFFF"/>
              </w:rPr>
              <w:t>2:2</w:t>
            </w:r>
            <w:r>
              <w:rPr>
                <w:rStyle w:val="normaltextrun"/>
                <w:rFonts w:ascii="Arial" w:hAnsi="Arial" w:cs="Arial"/>
                <w:color w:val="000000"/>
                <w:sz w:val="22"/>
                <w:szCs w:val="22"/>
                <w:shd w:val="clear" w:color="auto" w:fill="FFFFFF"/>
              </w:rPr>
              <w:t xml:space="preserve">honours </w:t>
            </w:r>
            <w:r>
              <w:rPr>
                <w:rStyle w:val="normaltextrun"/>
                <w:rFonts w:ascii="Arial" w:hAnsi="Arial" w:cs="Arial"/>
                <w:color w:val="000000"/>
                <w:sz w:val="22"/>
                <w:szCs w:val="22"/>
                <w:shd w:val="clear" w:color="auto" w:fill="FFFFFF"/>
              </w:rPr>
              <w:t xml:space="preserve">degree </w:t>
            </w:r>
            <w:r>
              <w:rPr>
                <w:rStyle w:val="normaltextrun"/>
                <w:rFonts w:ascii="Arial" w:hAnsi="Arial" w:cs="Arial"/>
                <w:color w:val="000000"/>
                <w:sz w:val="22"/>
                <w:szCs w:val="22"/>
                <w:shd w:val="clear" w:color="auto" w:fill="FFFFFF"/>
              </w:rPr>
              <w:t xml:space="preserve">level, or equivalent. </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Holders of overseas degree qual</w:t>
            </w:r>
            <w:r>
              <w:rPr>
                <w:rStyle w:val="normaltextrun"/>
                <w:rFonts w:ascii="Arial" w:hAnsi="Arial" w:cs="Arial"/>
                <w:color w:val="000000"/>
                <w:sz w:val="22"/>
                <w:szCs w:val="22"/>
                <w:shd w:val="clear" w:color="auto" w:fill="FFFFFF"/>
              </w:rPr>
              <w:t>ifications are subject to the University's normal entry procedures with regard to the assessment of the equivalence of overseas qualifications. Typically a Grade Point Average in excess of 3 might be appropriate, subject to the standing of the awarding ins</w:t>
            </w:r>
            <w:r>
              <w:rPr>
                <w:rStyle w:val="normaltextrun"/>
                <w:rFonts w:ascii="Arial" w:hAnsi="Arial" w:cs="Arial"/>
                <w:color w:val="000000"/>
                <w:sz w:val="22"/>
                <w:szCs w:val="22"/>
                <w:shd w:val="clear" w:color="auto" w:fill="FFFFFF"/>
              </w:rPr>
              <w:t>titution.</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Candidates with non-standard qualifications will be considered. Evidence of satisfactory knowledge of the foundation subjects through the possession of an appropriate qualification, training, or work experience will be required.</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International stu</w:t>
            </w:r>
            <w:r>
              <w:rPr>
                <w:rStyle w:val="normaltextrun"/>
                <w:rFonts w:ascii="Arial" w:hAnsi="Arial" w:cs="Arial"/>
                <w:color w:val="000000"/>
                <w:sz w:val="22"/>
                <w:szCs w:val="22"/>
                <w:shd w:val="clear" w:color="auto" w:fill="FFFFFF"/>
              </w:rPr>
              <w:t>dents whose first language is not English shall normally be required to demonstrate evidence of satisfactory competence by holding one of the following recognised qualifications:</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Either: British Council International English Language Testing Service (IELTS</w:t>
            </w:r>
            <w:r>
              <w:rPr>
                <w:rStyle w:val="normaltextrun"/>
                <w:rFonts w:ascii="Arial" w:hAnsi="Arial" w:cs="Arial"/>
                <w:color w:val="000000"/>
                <w:sz w:val="22"/>
                <w:szCs w:val="22"/>
                <w:shd w:val="clear" w:color="auto" w:fill="FFFFFF"/>
              </w:rPr>
              <w:t>) test with an overall score of 6.5</w:t>
            </w:r>
            <w:r>
              <w:rPr>
                <w:rStyle w:val="normaltextrun"/>
                <w:rFonts w:ascii="Arial" w:hAnsi="Arial" w:cs="Arial"/>
                <w:color w:val="000000"/>
                <w:sz w:val="22"/>
                <w:szCs w:val="22"/>
                <w:shd w:val="clear" w:color="auto" w:fill="FFFFFF"/>
              </w:rPr>
              <w:t xml:space="preserve"> and no individual element lower than 6.0</w:t>
            </w:r>
            <w:r>
              <w:rPr>
                <w:rStyle w:val="normaltextrun"/>
                <w:rFonts w:ascii="Arial" w:hAnsi="Arial" w:cs="Arial"/>
                <w:color w:val="000000"/>
                <w:sz w:val="22"/>
                <w:szCs w:val="22"/>
                <w:shd w:val="clear" w:color="auto" w:fill="FFFFFF"/>
              </w:rPr>
              <w:t>. (Those students with IELTS of less than 6.5 or equivalent may be considered if they agree to attend a pre-sessional English Language Course run by</w:t>
            </w:r>
            <w:r>
              <w:rPr>
                <w:rStyle w:val="normaltextrun"/>
                <w:rFonts w:ascii="Arial" w:hAnsi="Arial" w:cs="Arial"/>
                <w:color w:val="000000"/>
                <w:sz w:val="22"/>
                <w:szCs w:val="22"/>
                <w:shd w:val="clear" w:color="auto" w:fill="FFFFFF"/>
              </w:rPr>
              <w:t xml:space="preserve"> Kingston University)</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Test </w:t>
            </w:r>
            <w:r>
              <w:rPr>
                <w:rStyle w:val="normaltextrun"/>
                <w:rFonts w:ascii="Arial" w:hAnsi="Arial" w:cs="Arial"/>
                <w:color w:val="000000"/>
                <w:sz w:val="22"/>
                <w:szCs w:val="22"/>
                <w:shd w:val="clear" w:color="auto" w:fill="FFFFFF"/>
              </w:rPr>
              <w:t>of</w:t>
            </w:r>
            <w:r>
              <w:rPr>
                <w:rStyle w:val="normaltextrun"/>
                <w:rFonts w:ascii="Arial" w:hAnsi="Arial" w:cs="Arial"/>
                <w:color w:val="000000"/>
                <w:sz w:val="22"/>
                <w:szCs w:val="22"/>
                <w:shd w:val="clear" w:color="auto" w:fill="FFFFFF"/>
              </w:rPr>
              <w:t xml:space="preserve"> En</w:t>
            </w:r>
            <w:r>
              <w:rPr>
                <w:rStyle w:val="normaltextrun"/>
                <w:rFonts w:ascii="Arial" w:hAnsi="Arial" w:cs="Arial"/>
                <w:color w:val="000000"/>
                <w:sz w:val="22"/>
                <w:szCs w:val="22"/>
                <w:shd w:val="clear" w:color="auto" w:fill="FFFFFF"/>
              </w:rPr>
              <w:t>glish as a Foreign Language (TOEFL Test) with a minimum score of 600 with a w</w:t>
            </w:r>
            <w:r>
              <w:rPr>
                <w:rStyle w:val="normaltextrun"/>
                <w:rFonts w:ascii="Arial" w:hAnsi="Arial" w:cs="Arial"/>
                <w:color w:val="000000"/>
                <w:sz w:val="22"/>
                <w:szCs w:val="22"/>
                <w:shd w:val="clear" w:color="auto" w:fill="FFFFFF"/>
              </w:rPr>
              <w:t>ritten English test score of 6</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Computer</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based </w:t>
            </w:r>
            <w:r>
              <w:rPr>
                <w:rStyle w:val="normaltextrun"/>
                <w:rFonts w:ascii="Arial" w:hAnsi="Arial" w:cs="Arial"/>
                <w:color w:val="000000"/>
                <w:sz w:val="22"/>
                <w:szCs w:val="22"/>
                <w:shd w:val="clear" w:color="auto" w:fill="FFFFFF"/>
              </w:rPr>
              <w:t>T</w:t>
            </w:r>
            <w:r>
              <w:rPr>
                <w:rStyle w:val="normaltextrun"/>
                <w:rFonts w:ascii="Arial" w:hAnsi="Arial" w:cs="Arial"/>
                <w:color w:val="000000"/>
                <w:sz w:val="22"/>
                <w:szCs w:val="22"/>
                <w:shd w:val="clear" w:color="auto" w:fill="FFFFFF"/>
              </w:rPr>
              <w:t xml:space="preserve">OEFL test with a minimum score </w:t>
            </w:r>
            <w:r>
              <w:rPr>
                <w:rStyle w:val="normaltextrun"/>
                <w:rFonts w:ascii="Arial" w:hAnsi="Arial" w:cs="Arial"/>
                <w:color w:val="000000"/>
                <w:sz w:val="22"/>
                <w:szCs w:val="22"/>
                <w:shd w:val="clear" w:color="auto" w:fill="FFFFFF"/>
              </w:rPr>
              <w:t>of 250</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Internet based TOEFL test with a minimum score of 90</w:t>
            </w:r>
            <w:r>
              <w:rPr>
                <w:rStyle w:val="normaltextrun"/>
                <w:rFonts w:ascii="Arial" w:hAnsi="Arial" w:cs="Arial"/>
                <w:color w:val="000000"/>
                <w:sz w:val="22"/>
                <w:szCs w:val="22"/>
                <w:shd w:val="clear" w:color="auto" w:fill="FFFFFF"/>
              </w:rPr>
              <w: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Chartered Institute of Public Relations </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Master</w:t>
            </w:r>
            <w:r>
              <w:rPr>
                <w:rStyle w:val="normaltextrun"/>
                <w:rFonts w:ascii="Arial" w:eastAsia="Arial" w:hAnsi="Arial" w:cs="Arial"/>
                <w:color w:val="000000"/>
                <w:sz w:val="22"/>
                <w:szCs w:val="22"/>
                <w:shd w:val="clear" w:color="auto" w:fill="FFFFFF"/>
              </w:rPr>
              <w:t>s Awards in Business and Management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This programme is approved to use </w:t>
            </w:r>
            <w:r>
              <w:rPr>
                <w:rStyle w:val="normaltextrun"/>
                <w:rFonts w:ascii="Arial" w:eastAsia="Arial" w:hAnsi="Arial" w:cs="Arial"/>
                <w:color w:val="000000"/>
                <w:sz w:val="22"/>
                <w:szCs w:val="22"/>
                <w:shd w:val="clear" w:color="auto" w:fill="FFFFFF"/>
              </w:rPr>
              <w:t>15-credit modules.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w:t>
      </w:r>
      <w:r w:rsidRPr="007C4290">
        <w:rPr>
          <w:rStyle w:val="normaltextrun"/>
          <w:rFonts w:ascii="Arial" w:hAnsi="Arial" w:cs="Arial"/>
          <w:color w:val="000000" w:themeColor="text1"/>
          <w:shd w:val="clear" w:color="auto" w:fill="FFFFFF"/>
        </w:rPr>
        <w:t xml:space="preserve"> of the programme are:</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provide an in-depth understanding of the concepts of </w:t>
      </w:r>
      <w:r w:rsidRPr="007C4290">
        <w:rPr>
          <w:rStyle w:val="normaltextrun"/>
          <w:rFonts w:ascii="Arial" w:hAnsi="Arial" w:cs="Arial"/>
          <w:color w:val="000000" w:themeColor="text1"/>
          <w:shd w:val="clear" w:color="auto" w:fill="FFFFFF"/>
        </w:rPr>
        <w:t>publi</w:t>
      </w:r>
      <w:r w:rsidRPr="007C4290">
        <w:rPr>
          <w:rStyle w:val="normaltextrun"/>
          <w:rFonts w:ascii="Arial" w:hAnsi="Arial" w:cs="Arial"/>
          <w:color w:val="000000" w:themeColor="text1"/>
          <w:shd w:val="clear" w:color="auto" w:fill="FFFFFF"/>
        </w:rPr>
        <w:t xml:space="preserve">c relations and </w:t>
      </w:r>
      <w:r w:rsidRPr="007C4290">
        <w:rPr>
          <w:rStyle w:val="normaltextrun"/>
          <w:rFonts w:ascii="Arial" w:hAnsi="Arial" w:cs="Arial"/>
          <w:color w:val="000000" w:themeColor="text1"/>
          <w:shd w:val="clear" w:color="auto" w:fill="FFFFFF"/>
        </w:rPr>
        <w:t>corporate communications within the overall context of business and marketing.</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 related practical skills.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enable students to research specific areas of </w:t>
      </w:r>
      <w:r w:rsidRPr="007C4290">
        <w:rPr>
          <w:rStyle w:val="normaltextrun"/>
          <w:rFonts w:ascii="Arial" w:hAnsi="Arial" w:cs="Arial"/>
          <w:color w:val="000000" w:themeColor="text1"/>
          <w:shd w:val="clear" w:color="auto" w:fill="FFFFFF"/>
        </w:rPr>
        <w:t xml:space="preserve">public relations and </w:t>
      </w:r>
      <w:r w:rsidRPr="007C4290">
        <w:rPr>
          <w:rStyle w:val="normaltextrun"/>
          <w:rFonts w:ascii="Arial" w:hAnsi="Arial" w:cs="Arial"/>
          <w:color w:val="000000" w:themeColor="text1"/>
          <w:shd w:val="clear" w:color="auto" w:fill="FFFFFF"/>
        </w:rPr>
        <w:t>corporate communications in depth, via modules</w:t>
      </w:r>
      <w:r w:rsidRPr="007C4290">
        <w:rPr>
          <w:rStyle w:val="normaltextrun"/>
          <w:rFonts w:ascii="Arial" w:hAnsi="Arial" w:cs="Arial"/>
          <w:color w:val="000000" w:themeColor="text1"/>
          <w:shd w:val="clear" w:color="auto" w:fill="FFFFFF"/>
        </w:rPr>
        <w:t xml:space="preserve"> and, more specifically, the dissertation.</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students with the necessary skills to make an immediate effective contribution</w:t>
      </w:r>
      <w:r w:rsidRPr="007C4290">
        <w:rPr>
          <w:rStyle w:val="normaltextrun"/>
          <w:rFonts w:ascii="Arial" w:hAnsi="Arial" w:cs="Arial"/>
          <w:color w:val="000000" w:themeColor="text1"/>
          <w:shd w:val="clear" w:color="auto" w:fill="FFFFFF"/>
        </w:rPr>
        <w:t xml:space="preserve"> upon their employment in </w:t>
      </w:r>
      <w:r w:rsidRPr="007C4290">
        <w:rPr>
          <w:rStyle w:val="normaltextrun"/>
          <w:rFonts w:ascii="Arial" w:hAnsi="Arial" w:cs="Arial"/>
          <w:color w:val="000000" w:themeColor="text1"/>
          <w:shd w:val="clear" w:color="auto" w:fill="FFFFFF"/>
        </w:rPr>
        <w:t xml:space="preserve">public relations and </w:t>
      </w:r>
      <w:r w:rsidRPr="007C4290">
        <w:rPr>
          <w:rStyle w:val="normaltextrun"/>
          <w:rFonts w:ascii="Arial" w:hAnsi="Arial" w:cs="Arial"/>
          <w:color w:val="000000" w:themeColor="text1"/>
          <w:shd w:val="clear" w:color="auto" w:fill="FFFFFF"/>
        </w:rPr>
        <w:t>corporate communications.</w:t>
      </w:r>
    </w:p>
    <w:p w:rsidRPr="007C4290" w:rsidP="00A92C9B">
      <w:pPr>
        <w:pStyle w:val="ListParagraph"/>
        <w:numPr>
          <w:ilvl w:val="0"/>
          <w:numId w:val="14"/>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Give students a head start on the employment ladder, </w:t>
      </w:r>
      <w:r w:rsidRPr="007C4290">
        <w:rPr>
          <w:rStyle w:val="normaltextrun"/>
          <w:rFonts w:ascii="Arial" w:hAnsi="Arial" w:cs="Arial"/>
          <w:color w:val="000000" w:themeColor="text1"/>
          <w:shd w:val="clear" w:color="auto" w:fill="FFFFFF"/>
        </w:rPr>
        <w:t>preparing them for employment, further study and lifelong learning</w:t>
      </w:r>
    </w:p>
    <w:p w:rsidRPr="007C4290" w:rsidP="00A92C9B">
      <w:pPr>
        <w:pStyle w:val="indent"/>
        <w:ind w:left="709" w:righ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709"/>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QAA subject benchmarks for Masters Awards in Business and Management and the Framework for Higher Education Qualifications in England, Wales and Northern Ireland (2008), and relate to the typical student. The programme provides opportunities for students to develop and demonstrate knowledge and understanding, skills and other attributes in the following areas:</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current issues of global concern such as sustainability, ethics and social responsibility and how these relate to contemporary practice across the broader domains of public relations and corporate communications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public relations and corporate communications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the results of independent research.</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source, critically appraise and apply the latest research approaches and literature in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an individual research project on a topic related to the broad fields of corporate communications and public relations.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appropriate ICT software in the analysis and reporting of both quantitative and qualitative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methodological issues and the ability to apply this knowledge to the analysis and evaluation of public relations and corporate communications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Assemble and analyse qualitative and quantitative data (as appropriate) from a wide variety of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role of public relations and corporate communications, and appraise these roles in the organisational environment and within the overall context of business and marketing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relevant knowledge in the field of corporate communications and apply it to the solution of complex corporate communications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conduct independent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reflect upon and demonstrate an advanced level of understanding of the theoretical frameworks relevant to public relations corporate communications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 from a variety of data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flexible and skilled business professionals.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consists of six modules, three at 30 credit points, two at 15 credit points, along with a 60 credit dissertation. A student must complete 180 credits for a Masters degree. All students will be provided with the University regulations. Full details of each module is provided in the module descriptors and student module handbooks.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Due to the nature of the degree, which provides students with a range of opportunities and the business experience within a two-year period, the course is intensive and requires hard work and dedication.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Public Relations and Corporate Communications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Public Relations and Corporate Communications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Managing Corporate Social Responsibility and Sustainable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BS7302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MANAGING CROSS CULTURAL AND INTERNAL COMMUNICATIONS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BS7323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 RESEARCH AND DATA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MARKETING COMMUNICATIONS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PUBLIC RELATIONS STRATEGY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Proposal and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TB3- TB1 – 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numPr>
          <w:ilvl w:val="0"/>
          <w:numId w:val="15"/>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programme with 60 credits are eligible for the award of PgCert </w:t>
      </w:r>
    </w:p>
    <w:p w:rsidRPr="66934EB1" w:rsidP="66934EB1">
      <w:pPr>
        <w:ind w:left="720"/>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Both the 30 credit Managing Cross-Cultural &amp; Internal Communications module and the 30 credit Public Relations Strategy module must be passed to be eligible for the award of PgCert in Public Relations and Corporate Communications. If only one of these is passed students will be eligible for the award of PgCert in Communications Studies.</w:t>
      </w:r>
    </w:p>
    <w:p w:rsidRPr="66934EB1" w:rsidP="66934EB1">
      <w:pPr>
        <w:numPr>
          <w:ilvl w:val="0"/>
          <w:numId w:val="16"/>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Students exiting the programme with 120 credits are eligible for the award of PgDip in Public Relations and Corporate Communications, of which 60 credits must be constituted by the Public Relations Strategy and the Managing Cross-Cultural &amp; Internal Communications modules, otherwise students will be eligible for the award of PgDip in Communications Studies.</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teaching and learning philosophy of the programme is to e</w:t>
      </w:r>
      <w:r w:rsidRPr="503DC450">
        <w:rPr>
          <w:rFonts w:ascii="Arial" w:eastAsia="Arial" w:hAnsi="Arial" w:cs="Arial"/>
          <w:b w:val="0"/>
          <w:bCs w:val="0"/>
          <w:sz w:val="22"/>
          <w:szCs w:val="22"/>
        </w:rPr>
        <w:t>ngage students actively and to enable students to demonstrate their ability to study independently and work in groups on Masters level tasks.</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The range of teaching strategies will include lectures, workshops, seminars, presentations, action learning sets, </w:t>
      </w:r>
      <w:r w:rsidRPr="503DC450">
        <w:rPr>
          <w:rFonts w:ascii="Arial" w:eastAsia="Arial" w:hAnsi="Arial" w:cs="Arial"/>
          <w:b w:val="0"/>
          <w:bCs w:val="0"/>
          <w:sz w:val="22"/>
          <w:szCs w:val="22"/>
        </w:rPr>
        <w:t xml:space="preserve">and individual personal supervision. </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assessment arrangements for this programme are based on an appropriate mix of assessment approaches. The rationale for formal examinations is to assess economically and effectively individually acquired knowledge i</w:t>
      </w:r>
      <w:r w:rsidRPr="503DC450">
        <w:rPr>
          <w:rFonts w:ascii="Arial" w:eastAsia="Arial" w:hAnsi="Arial" w:cs="Arial"/>
          <w:b w:val="0"/>
          <w:bCs w:val="0"/>
          <w:sz w:val="22"/>
          <w:szCs w:val="22"/>
        </w:rPr>
        <w:t>n a time-constrained environment. The rationale for time-limited and continuous assessment is to additionally support a student-centred learning approach, in which the student's ability to write (in such formats as essays, reports, industry briefing papers</w:t>
      </w:r>
      <w:r w:rsidRPr="503DC450">
        <w:rPr>
          <w:rFonts w:ascii="Arial" w:eastAsia="Arial" w:hAnsi="Arial" w:cs="Arial"/>
          <w:b w:val="0"/>
          <w:bCs w:val="0"/>
          <w:sz w:val="22"/>
          <w:szCs w:val="22"/>
        </w:rPr>
        <w:t xml:space="preserve"> and reflective statements) and to offer evidence of in-depth research and analysis, will be assessed. </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Assessment is planned to reflect the aims and to achieve the learning outcomes of the programme. It is designed to monitor student performance regularly</w:t>
      </w:r>
      <w:r w:rsidRPr="503DC450">
        <w:rPr>
          <w:rFonts w:ascii="Arial" w:eastAsia="Arial" w:hAnsi="Arial" w:cs="Arial"/>
          <w:b w:val="0"/>
          <w:bCs w:val="0"/>
          <w:sz w:val="22"/>
          <w:szCs w:val="22"/>
        </w:rPr>
        <w:t xml:space="preserve"> in the context of specific requirements of individual subjects, the personal and group management skills required in business, the theoretical background and applied skills necessary for effective use of business tools and ultimately the knowledge and ski</w:t>
      </w:r>
      <w:r w:rsidRPr="503DC450">
        <w:rPr>
          <w:rFonts w:ascii="Arial" w:eastAsia="Arial" w:hAnsi="Arial" w:cs="Arial"/>
          <w:b w:val="0"/>
          <w:bCs w:val="0"/>
          <w:sz w:val="22"/>
          <w:szCs w:val="22"/>
        </w:rPr>
        <w:t>lls essential to meet the o</w:t>
      </w:r>
      <w:r w:rsidRPr="503DC450">
        <w:rPr>
          <w:rFonts w:ascii="Arial" w:eastAsia="Arial" w:hAnsi="Arial" w:cs="Arial"/>
          <w:b w:val="0"/>
          <w:bCs w:val="0"/>
          <w:sz w:val="22"/>
          <w:szCs w:val="22"/>
        </w:rPr>
        <w:t>verall requirements of a Master</w:t>
      </w:r>
      <w:r w:rsidRPr="503DC450">
        <w:rPr>
          <w:rFonts w:ascii="Arial" w:eastAsia="Arial" w:hAnsi="Arial" w:cs="Arial"/>
          <w:b w:val="0"/>
          <w:bCs w:val="0"/>
          <w:sz w:val="22"/>
          <w:szCs w:val="22"/>
        </w:rPr>
        <w:t xml:space="preserve">s degree. </w:t>
      </w:r>
    </w:p>
    <w:p w:rsidRPr="503DC450" w:rsidP="007D20BC">
      <w:pPr>
        <w:pStyle w:val="p"/>
        <w:spacing w:before="0" w:after="0"/>
        <w:ind w:left="0" w:right="0"/>
        <w:rPr>
          <w:rFonts w:ascii="Arial" w:eastAsia="Arial" w:hAnsi="Arial" w:cs="Arial"/>
          <w:sz w:val="22"/>
          <w:szCs w:val="22"/>
        </w:rPr>
      </w:pP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are supported by: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Module leader for each module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A personal tutor to advise on academic and non-academic issues.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w:t>
      </w:r>
      <w:r w:rsidRPr="503DC450">
        <w:rPr>
          <w:rFonts w:ascii="Arial" w:eastAsia="Arial" w:hAnsi="Arial" w:cs="Arial"/>
          <w:sz w:val="22"/>
          <w:szCs w:val="22"/>
        </w:rPr>
        <w:t>n academic</w:t>
      </w:r>
      <w:r w:rsidRPr="503DC450">
        <w:rPr>
          <w:rFonts w:ascii="Arial" w:eastAsia="Arial" w:hAnsi="Arial" w:cs="Arial"/>
          <w:sz w:val="22"/>
          <w:szCs w:val="22"/>
        </w:rPr>
        <w:t xml:space="preserve"> </w:t>
      </w:r>
      <w:r w:rsidRPr="503DC450">
        <w:rPr>
          <w:rFonts w:ascii="Arial" w:eastAsia="Arial" w:hAnsi="Arial" w:cs="Arial"/>
          <w:sz w:val="22"/>
          <w:szCs w:val="22"/>
        </w:rPr>
        <w:t>supervi</w:t>
      </w:r>
      <w:r w:rsidRPr="503DC450">
        <w:rPr>
          <w:rFonts w:ascii="Arial" w:eastAsia="Arial" w:hAnsi="Arial" w:cs="Arial"/>
          <w:sz w:val="22"/>
          <w:szCs w:val="22"/>
        </w:rPr>
        <w:t xml:space="preserve">sor for the Dissertation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 Course Director to help students understand the programme structure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Technical support to advise students on IT and the use of software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 designated programme administrator</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An induction </w:t>
      </w:r>
      <w:r w:rsidRPr="503DC450">
        <w:rPr>
          <w:rFonts w:ascii="Arial" w:eastAsia="Arial" w:hAnsi="Arial" w:cs="Arial"/>
          <w:sz w:val="22"/>
          <w:szCs w:val="22"/>
        </w:rPr>
        <w:t>programme</w:t>
      </w:r>
      <w:r w:rsidRPr="503DC450">
        <w:rPr>
          <w:rFonts w:ascii="Arial" w:eastAsia="Arial" w:hAnsi="Arial" w:cs="Arial"/>
          <w:sz w:val="22"/>
          <w:szCs w:val="22"/>
        </w:rPr>
        <w:t xml:space="preserve"> </w:t>
      </w:r>
      <w:r w:rsidRPr="503DC450">
        <w:rPr>
          <w:rFonts w:ascii="Arial" w:eastAsia="Arial" w:hAnsi="Arial" w:cs="Arial"/>
          <w:sz w:val="22"/>
          <w:szCs w:val="22"/>
        </w:rPr>
        <w:t>at the beginning of the programme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Staff Student Consultative Committee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BLASC (Business and Law Academic Skills Centre)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Canvas</w:t>
      </w:r>
      <w:r w:rsidRPr="503DC450">
        <w:rPr>
          <w:rFonts w:ascii="Arial" w:eastAsia="Arial" w:hAnsi="Arial" w:cs="Arial"/>
          <w:sz w:val="22"/>
          <w:szCs w:val="22"/>
        </w:rPr>
        <w:t xml:space="preserve"> – a versatile on-line interactive learning environment</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Student support facilities that provide advice on issues such as finance, regulations, legal matters, accom</w:t>
      </w:r>
      <w:r w:rsidRPr="503DC450">
        <w:rPr>
          <w:rFonts w:ascii="Arial" w:eastAsia="Arial" w:hAnsi="Arial" w:cs="Arial"/>
          <w:sz w:val="22"/>
          <w:szCs w:val="22"/>
        </w:rPr>
        <w:t>modation, international student support etc.</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Disabled student support</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The Students’ Union</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Careers and Employability Service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provides valuable guidance in supporting students with their placements, whether work, re</w:t>
      </w:r>
      <w:r w:rsidRPr="503DC450">
        <w:rPr>
          <w:rFonts w:ascii="Arial" w:eastAsia="Arial" w:hAnsi="Arial" w:cs="Arial"/>
          <w:sz w:val="22"/>
          <w:szCs w:val="22"/>
        </w:rPr>
        <w:t>search, entrepreneurial or study abroad</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Placement Tutor</w:t>
      </w:r>
      <w:r w:rsidRPr="503DC450">
        <w:rPr>
          <w:rFonts w:ascii="Calibri" w:eastAsia="Calibri" w:hAnsi="Calibri" w:cs="Calibri"/>
          <w:sz w:val="22"/>
          <w:szCs w:val="22"/>
        </w:rPr>
        <w:t xml:space="preserve"> </w:t>
      </w:r>
      <w:r w:rsidRPr="503DC450">
        <w:rPr>
          <w:rFonts w:ascii="Arial" w:eastAsia="Arial" w:hAnsi="Arial" w:cs="Arial"/>
          <w:sz w:val="22"/>
          <w:szCs w:val="22"/>
        </w:rPr>
        <w:t>will visit during the placement and meet with the student and work place supervisor</w:t>
      </w:r>
    </w:p>
    <w:p w:rsidRPr="503DC450" w:rsidP="00B40E99">
      <w:pPr>
        <w:pStyle w:val="p"/>
        <w:spacing w:before="0" w:after="0"/>
        <w:ind w:left="1440" w:right="0"/>
        <w:rPr>
          <w:rFonts w:ascii="Arial" w:eastAsia="Arial" w:hAnsi="Arial" w:cs="Arial"/>
          <w:sz w:val="22"/>
          <w:szCs w:val="22"/>
        </w:rPr>
      </w:pPr>
    </w:p>
    <w:p w:rsidRPr="503DC450" w:rsidP="00B40E99">
      <w:pPr>
        <w:pStyle w:val="p"/>
        <w:spacing w:before="0" w:after="0"/>
        <w:ind w:left="0" w:right="0"/>
        <w:rPr>
          <w:rFonts w:ascii="Arial" w:eastAsia="Arial" w:hAnsi="Arial" w:cs="Arial"/>
          <w:sz w:val="22"/>
          <w:szCs w:val="22"/>
        </w:rPr>
      </w:pP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w:t>
      </w:r>
      <w:r w:rsidRPr="503DC450">
        <w:rPr>
          <w:rFonts w:ascii="Arial" w:eastAsia="Arial" w:hAnsi="Arial" w:cs="Arial"/>
          <w:sz w:val="22"/>
          <w:szCs w:val="22"/>
        </w:rPr>
        <w:t xml:space="preserve"> the quality a</w:t>
      </w:r>
      <w:r w:rsidRPr="503DC450">
        <w:rPr>
          <w:rFonts w:ascii="Arial" w:eastAsia="Arial" w:hAnsi="Arial" w:cs="Arial"/>
          <w:sz w:val="22"/>
          <w:szCs w:val="22"/>
        </w:rPr>
        <w:t xml:space="preserve">nd standards of its provision. </w:t>
      </w:r>
      <w:r w:rsidRPr="503DC450">
        <w:rPr>
          <w:rFonts w:ascii="Arial" w:eastAsia="Arial" w:hAnsi="Arial" w:cs="Arial"/>
          <w:sz w:val="22"/>
          <w:szCs w:val="22"/>
        </w:rPr>
        <w:t>These include:</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External examiners</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Boards of study with student representation</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Annual review and development</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Periodic review undertaken at the subject level</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Student evaluation</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Moderation policies</w:t>
      </w:r>
    </w:p>
    <w:p w:rsidRPr="503DC450" w:rsidP="00A92C9B">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nature of the programme, involving seminars, industry guest speaker sessions, workshops and project work, creates a culture of career awareness. Employability education is embedded throughout the programme in the form of activities such as c</w:t>
      </w:r>
      <w:r w:rsidRPr="503DC450">
        <w:rPr>
          <w:rFonts w:ascii="Arial" w:eastAsia="Arial" w:hAnsi="Arial" w:cs="Arial"/>
          <w:sz w:val="22"/>
          <w:szCs w:val="22"/>
        </w:rPr>
        <w:t>areer awareness raising, industry guest speakers, and the development of personal skills. In addition, three modules (Public Relations Strategy, Market Research &amp; Data Analysis and Research Proposal &amp; Dissertation) have been chosen to act as ‘hosts’ for de</w:t>
      </w:r>
      <w:r w:rsidRPr="503DC450">
        <w:rPr>
          <w:rFonts w:ascii="Arial" w:eastAsia="Arial" w:hAnsi="Arial" w:cs="Arial"/>
          <w:sz w:val="22"/>
          <w:szCs w:val="22"/>
        </w:rPr>
        <w:t>dicated employability tasks which are assessed summatively. The tasks will cover career planning, industry/job research, psychometric testing, CV and cover letter writing, workshops on conducting effective interviews, and writing a management report/briefi</w:t>
      </w:r>
      <w:r w:rsidRPr="503DC450">
        <w:rPr>
          <w:rFonts w:ascii="Arial" w:eastAsia="Arial" w:hAnsi="Arial" w:cs="Arial"/>
          <w:sz w:val="22"/>
          <w:szCs w:val="22"/>
        </w:rPr>
        <w:t>ng based on their dissertation, for use with prospective employers. Students are encouraged to build a career portfolio during the programme and are supported by the Employability Subject coordinator, the Course Team as well as by the University’s centrali</w:t>
      </w:r>
      <w:r w:rsidRPr="503DC450">
        <w:rPr>
          <w:rFonts w:ascii="Arial" w:eastAsia="Arial" w:hAnsi="Arial" w:cs="Arial"/>
          <w:sz w:val="22"/>
          <w:szCs w:val="22"/>
        </w:rPr>
        <w:t xml:space="preserve">sed Careers &amp; Employability Service. Industry links are provided via guest speakers and alumni. </w:t>
      </w: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Graduates will be equipped to build their careers in the public relations and corporate communications function within organisations or in specialist agencies/</w:t>
      </w:r>
      <w:r w:rsidRPr="503DC450">
        <w:rPr>
          <w:rFonts w:ascii="Arial" w:eastAsia="Arial" w:hAnsi="Arial" w:cs="Arial"/>
          <w:sz w:val="22"/>
          <w:szCs w:val="22"/>
        </w:rPr>
        <w:t>consultancies, and graduate employment destinations are expected to consist of multi-nationals throughout the world.</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Developing employable graduates is at the heart of this programme. The integrated work placement programme is designed to provide our stud</w:t>
      </w:r>
      <w:r w:rsidRPr="503DC450">
        <w:rPr>
          <w:rFonts w:ascii="Arial" w:eastAsia="Arial" w:hAnsi="Arial" w:cs="Arial"/>
          <w:sz w:val="22"/>
          <w:szCs w:val="22"/>
        </w:rPr>
        <w:t xml:space="preserve">ents with the best opportunities for obtaining employment at the end of their degree, providing skills and experience that employers are looking for in their work force. These are supported by the services of 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w:t>
      </w:r>
      <w:r w:rsidRPr="503DC450">
        <w:rPr>
          <w:rFonts w:ascii="Arial" w:eastAsia="Arial" w:hAnsi="Arial" w:cs="Arial"/>
          <w:sz w:val="22"/>
          <w:szCs w:val="22"/>
        </w:rPr>
        <w:t>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 year degree and students will receive support by the award winning Careers and Employability Service team.</w:t>
      </w:r>
    </w:p>
    <w:p w:rsidRPr="503DC450" w:rsidP="00A92C9B">
      <w:pPr>
        <w:rPr>
          <w:rFonts w:ascii="Arial" w:hAnsi="Arial" w:cs="Arial"/>
          <w:sz w:val="22"/>
          <w:szCs w:val="22"/>
        </w:rPr>
      </w:pPr>
      <w:r w:rsidRPr="503DC450">
        <w:rPr>
          <w:rFonts w:ascii="Arial" w:hAnsi="Arial" w:cs="Arial"/>
          <w:sz w:val="22"/>
          <w:szCs w:val="22"/>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2"/>
          <w:szCs w:val="22"/>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Pr="503DC450" w:rsidP="00A92C9B">
      <w:pPr>
        <w:jc w:val="both"/>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experience and work achievements to record on their CV, and also greater maturity and motivation.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Business and Management QAA Benchmark statement</w:t>
      </w:r>
      <w:r w:rsidRPr="503DC450">
        <w:rPr>
          <w:rFonts w:ascii="Arial" w:eastAsia="Arial" w:hAnsi="Arial" w:cs="Arial"/>
          <w:sz w:val="22"/>
          <w:szCs w:val="22"/>
        </w:rPr>
        <w:t>:</w:t>
      </w:r>
    </w:p>
    <w:p w:rsidRPr="503DC450" w:rsidP="00A92C9B">
      <w:pPr>
        <w:pStyle w:val="ListParagraph00"/>
        <w:spacing w:before="0" w:after="0"/>
        <w:ind w:left="0" w:right="0"/>
        <w:jc w:val="both"/>
        <w:rPr>
          <w:rFonts w:ascii="Arial" w:eastAsia="Arial" w:hAnsi="Arial" w:cs="Arial"/>
          <w:sz w:val="22"/>
          <w:szCs w:val="22"/>
        </w:rPr>
      </w:pPr>
      <w:hyperlink r:id="rId11" w:history="1">
        <w:r w:rsidRPr="503DC450">
          <w:rPr>
            <w:rStyle w:val="Hyperlink0"/>
            <w:rFonts w:ascii="Calibri" w:eastAsia="Calibri" w:hAnsi="Calibri" w:cs="Calibri"/>
            <w:color w:val="0000FF"/>
            <w:sz w:val="22"/>
            <w:szCs w:val="22"/>
            <w:u w:val="single" w:color="0000FF"/>
          </w:rPr>
          <w:t>https://www.qaa.ac.uk/docs/qaa/subject-benchmark-statements/sbs-business-and-management-15.pdf?sfvrsn=1997f681_16</w:t>
        </w:r>
      </w:hyperlink>
      <w:r w:rsidRPr="503DC450">
        <w:rPr>
          <w:rFonts w:ascii="Calibri" w:eastAsia="Calibri" w:hAnsi="Calibri" w:cs="Calibri"/>
          <w:sz w:val="22"/>
          <w:szCs w:val="22"/>
        </w:rPr>
        <w:t xml:space="preserve"> </w:t>
      </w:r>
    </w:p>
    <w:p w:rsidRPr="503DC450" w:rsidP="00A92C9B">
      <w:pPr>
        <w:pStyle w:val="ListParagraph00"/>
        <w:spacing w:before="0" w:after="0"/>
        <w:ind w:left="0" w:right="0"/>
        <w:jc w:val="both"/>
        <w:rPr>
          <w:rFonts w:ascii="Arial" w:eastAsia="Arial" w:hAnsi="Arial" w:cs="Arial"/>
          <w:sz w:val="22"/>
          <w:szCs w:val="22"/>
        </w:rPr>
      </w:pPr>
      <w:r w:rsidRPr="503DC450">
        <w:rPr>
          <w:rFonts w:ascii="Arial" w:eastAsia="Arial" w:hAnsi="Arial" w:cs="Arial"/>
          <w:sz w:val="22"/>
          <w:szCs w:val="22"/>
        </w:rPr>
        <w:t>All students will be provided with the University regulations and specific additions that are sometimes required for accreditation by ou</w:t>
      </w:r>
      <w:r w:rsidRPr="503DC450">
        <w:rPr>
          <w:rFonts w:ascii="Arial" w:eastAsia="Arial" w:hAnsi="Arial" w:cs="Arial"/>
          <w:sz w:val="22"/>
          <w:szCs w:val="22"/>
        </w:rPr>
        <w:t xml:space="preserve">tside bodies (e.g. professional or statutory bodies that confer professional accreditation). </w:t>
      </w:r>
    </w:p>
    <w:p w:rsidRPr="503DC450" w:rsidP="00A92C9B">
      <w:pPr>
        <w:pStyle w:val="ListParagraph00"/>
        <w:spacing w:before="0" w:after="0"/>
        <w:ind w:left="360" w:right="0"/>
        <w:jc w:val="both"/>
        <w:rPr>
          <w:rFonts w:ascii="Arial" w:eastAsia="Arial" w:hAnsi="Arial" w:cs="Arial"/>
          <w:sz w:val="22"/>
          <w:szCs w:val="22"/>
        </w:rPr>
      </w:pPr>
    </w:p>
    <w:p w:rsidRPr="503DC450" w:rsidP="00A92C9B">
      <w:pPr>
        <w:pStyle w:val="ListParagraph00"/>
        <w:spacing w:before="0" w:after="0"/>
        <w:ind w:left="0" w:right="0"/>
        <w:jc w:val="both"/>
        <w:rPr>
          <w:rFonts w:ascii="Arial" w:eastAsia="Arial" w:hAnsi="Arial" w:cs="Arial"/>
          <w:sz w:val="22"/>
          <w:szCs w:val="22"/>
        </w:rPr>
      </w:pPr>
      <w:r w:rsidRPr="503DC450">
        <w:rPr>
          <w:rFonts w:ascii="Arial" w:eastAsia="Arial" w:hAnsi="Arial" w:cs="Arial"/>
          <w:sz w:val="22"/>
          <w:szCs w:val="22"/>
        </w:rPr>
        <w:t xml:space="preserve">Details about the programme will </w:t>
      </w:r>
      <w:r w:rsidRPr="503DC450">
        <w:rPr>
          <w:rFonts w:ascii="Arial" w:eastAsia="Arial" w:hAnsi="Arial" w:cs="Arial"/>
          <w:sz w:val="22"/>
          <w:szCs w:val="22"/>
        </w:rPr>
        <w:t xml:space="preserve">also </w:t>
      </w:r>
      <w:r w:rsidRPr="503DC450">
        <w:rPr>
          <w:rFonts w:ascii="Arial" w:eastAsia="Arial" w:hAnsi="Arial" w:cs="Arial"/>
          <w:sz w:val="22"/>
          <w:szCs w:val="22"/>
        </w:rPr>
        <w:t xml:space="preserve">be provided in the course handbook, </w:t>
      </w:r>
      <w:r w:rsidRPr="503DC450">
        <w:rPr>
          <w:rFonts w:ascii="Arial" w:eastAsia="Arial" w:hAnsi="Arial" w:cs="Arial"/>
          <w:sz w:val="22"/>
          <w:szCs w:val="22"/>
        </w:rPr>
        <w:t>and</w:t>
      </w:r>
      <w:r w:rsidRPr="503DC450">
        <w:rPr>
          <w:rFonts w:ascii="Arial" w:eastAsia="Arial" w:hAnsi="Arial" w:cs="Arial"/>
          <w:sz w:val="22"/>
          <w:szCs w:val="22"/>
        </w:rPr>
        <w:t xml:space="preserve"> full details of each module will be provided in module handbooks.</w:t>
      </w:r>
      <w:r w:rsidRPr="503DC450">
        <w:rPr>
          <w:rFonts w:ascii="Arial" w:eastAsia="Arial" w:hAnsi="Arial" w:cs="Arial"/>
          <w:sz w:val="22"/>
          <w:szCs w:val="22"/>
        </w:rPr>
        <w:t xml:space="preserve">  </w:t>
      </w:r>
    </w:p>
    <w:p w:rsidRPr="503DC450" w:rsidP="00A92C9B">
      <w:pPr>
        <w:pStyle w:val="p"/>
        <w:spacing w:before="0" w:after="0"/>
        <w:ind w:left="360" w:right="0"/>
        <w:rPr>
          <w:rFonts w:ascii="Times New Roman" w:eastAsia="Times New Roman" w:hAnsi="Times New Roman" w:cs="Times New Roman"/>
          <w:sz w:val="22"/>
          <w:szCs w:val="22"/>
        </w:rPr>
      </w:pPr>
      <w:r w:rsidRPr="503DC450">
        <w:rPr>
          <w:rFonts w:ascii="Arial" w:eastAsia="Arial" w:hAnsi="Arial" w:cs="Arial"/>
          <w:i/>
          <w:iCs/>
          <w:color w:val="FF0000"/>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784"/>
        <w:gridCol w:w="817"/>
        <w:gridCol w:w="817"/>
        <w:gridCol w:w="817"/>
        <w:gridCol w:w="7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BS7302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BS7323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cHons">
    <w:name w:val="cHons"/>
    <w:basedOn w:val="Normal"/>
  </w:style>
  <w:style w:type="paragraph" w:customStyle="1" w:styleId="p">
    <w:name w:val="p"/>
    <w:basedOn w:val="Normal"/>
  </w:style>
  <w:style w:type="paragraph" w:customStyle="1" w:styleId="ListParagraph0">
    <w:name w:val="ListParagraph"/>
    <w:basedOn w:val="ListParagraph"/>
  </w:style>
  <w:style w:type="paragraph" w:customStyle="1" w:styleId="indent">
    <w:name w:val="indent"/>
    <w:basedOn w:val="ListParagraph"/>
  </w:style>
  <w:style w:type="paragraph" w:customStyle="1" w:styleId="cHons0">
    <w:name w:val="cHons_0"/>
    <w:basedOn w:val="Normal"/>
    <w:pPr>
      <w:ind w:hanging="360"/>
    </w:pPr>
    <w:rPr>
      <w:b/>
      <w:bCs/>
      <w:sz w:val="24"/>
      <w:szCs w:val="24"/>
    </w:rPr>
  </w:style>
  <w:style w:type="paragraph" w:customStyle="1" w:styleId="li">
    <w:name w:val="li"/>
    <w:basedOn w:val="Normal"/>
  </w:style>
  <w:style w:type="paragraph" w:customStyle="1" w:styleId="ListParagraph00">
    <w:name w:val="ListParagraph_0"/>
    <w:basedOn w:val="Normal"/>
    <w:rPr>
      <w:rFonts w:ascii="Arial" w:eastAsia="Arial" w:hAnsi="Arial" w:cs="Arial"/>
      <w:sz w:val="22"/>
      <w:szCs w:val="22"/>
    </w:rPr>
  </w:style>
  <w:style w:type="character" w:customStyle="1" w:styleId="Hyperlink0">
    <w:name w:val="Hyperlink_0"/>
    <w:basedOn w:val="DefaultParagraphFont"/>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business-and-management-15.pdf?sfvrsn=1997f6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1210775-A546-4465-AE2E-1C013B1683B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