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Finance and Investment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30/09/2012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03/02/2026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12</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Accounting, Finance and Informatics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Finance and Investment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Cert Finance and Investment</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 Dip Finance and Investment</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PFFIV1FIV20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Finance and Investment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Cert Finance and Investment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 Dip Finance and Investment with Professional Placement</w:t>
            </w: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PFFIV1FIV99</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Business School, Faculty of Business and Social Sciences, 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Business School is accredited by Association to Advance Collegiate Schools of Business (AACSB)</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Association of Corporate Treasurers (ACT)</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5D711985" w:rsidRPr="158602C4" w:rsidP="158602C4">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br/>
            </w:r>
            <w:r w:rsidRPr="158602C4">
              <w:rPr>
                <w:rStyle w:val="normaltextrun"/>
                <w:rFonts w:ascii="Arial" w:eastAsia="Arial" w:hAnsi="Arial" w:cs="Arial"/>
                <w:b/>
                <w:bCs/>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MsoBodyText"/>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aims to</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advanced knowledge and understanding of investment and financial management, including their objectives, roles, and scope within the global business environment.</w:t>
      </w:r>
    </w:p>
    <w:p w:rsidRPr="2030048C" w:rsidP="2030048C">
      <w:pPr>
        <w:pStyle w:val="ListParagraph"/>
        <w:numPr>
          <w:ilvl w:val="0"/>
          <w:numId w:val="1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you to critically engage with key principles, theories, concepts, and empirical findings across investment, financial risk, banking, finance, and related financial services.</w:t>
      </w:r>
    </w:p>
    <w:p w:rsidRPr="2030048C" w:rsidP="2030048C">
      <w:pPr>
        <w:pStyle w:val="ListParagraph"/>
        <w:numPr>
          <w:ilvl w:val="0"/>
          <w:numId w:val="14"/>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you to evaluate and apply appropriate research methods and analytical techniques, supporting the design, execution, and presentation of a substantial research project in finance and investment.</w:t>
      </w:r>
    </w:p>
    <w:p w:rsidRPr="2030048C" w:rsidP="2030048C">
      <w:pPr>
        <w:pStyle w:val="ListParagraph"/>
        <w:numPr>
          <w:ilvl w:val="0"/>
          <w:numId w:val="15"/>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Foster strong analytical, interpretive, and problem-solving skills, enabling the synthesis of information and the formation of evidence-based judgements in complex financial and investment decision-making contexts.</w:t>
      </w:r>
    </w:p>
    <w:p w:rsidRPr="2030048C" w:rsidP="2030048C">
      <w:pPr>
        <w:pStyle w:val="ListParagraph"/>
        <w:numPr>
          <w:ilvl w:val="0"/>
          <w:numId w:val="16"/>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Enhance your’ communication, critical reflection, and practical skills, preparing you for professional roles, further study, and lifelong learning in finance, investment, and financial services.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a critical understanding of the core theoretical contributions to finance and how these may be applied to enhance management and professional practice in an international context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interpret and present financial data and information sources and demonstrate a critical awareness of the relevance and limitations of such analyses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effectively in written and oral forms in English in a business context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Find and evaluate key findings from the related empirical research literatures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issues, problems and opportunities associated with finance and financial management and demonstrate how these functions bear on the activities of modern corporations and institutions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skills of analysis and synthesis, and apply them to issues and decisions associated with investment and financial risk management, banking, finance, and other financial services management , and also in the broader context of business and management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explore the connections between the legal, economic and social environments as they bear on the finance operations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Undertake critical self-reflection of the learning process and experience, and demonstrate how this reflection and learning can be utilised to enhance future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and utilise appropriate research strategies, methods and sources of data and information in order to formulate, design, manage and execute a substantial research project, and present and communicate the research findings in an appropriate form</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the relative merits and disadvantages of various research methods and techniques and to achieve competence in the application of those methods and techniques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theoretical knowledge to develop practical insights into professional practices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Full details of each module are provided in the module descriptors and </w:t>
      </w:r>
      <w:r w:rsidRPr="2030048C">
        <w:rPr>
          <w:rFonts w:ascii="Arial" w:eastAsia="Arial" w:hAnsi="Arial" w:cs="Arial"/>
          <w:color w:val="000000" w:themeColor="text1" w:themeShade="FF" w:themeTint="FF"/>
          <w:sz w:val="22"/>
          <w:szCs w:val="22"/>
        </w:rPr>
        <w:t>canvas module page</w:t>
      </w:r>
      <w:r w:rsidRPr="2030048C">
        <w:rPr>
          <w:rFonts w:ascii="Arial" w:eastAsia="Arial" w:hAnsi="Arial" w:cs="Arial"/>
          <w:color w:val="000000" w:themeColor="text1" w:themeShade="FF" w:themeTint="FF"/>
          <w:sz w:val="24"/>
          <w:szCs w:val="24"/>
        </w:rPr>
        <w: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Placement </w:t>
      </w:r>
      <w:r w:rsidRPr="2030048C">
        <w:rPr>
          <w:rFonts w:ascii="Arial" w:eastAsia="Arial" w:hAnsi="Arial" w:cs="Arial"/>
          <w:color w:val="000000" w:themeColor="text1" w:themeShade="FF" w:themeTint="FF"/>
          <w:sz w:val="24"/>
          <w:szCs w:val="24"/>
        </w:rPr>
        <w:t>version: </w:t>
      </w:r>
      <w:r w:rsidRPr="2030048C">
        <w:rPr>
          <w:rFonts w:ascii="Arial" w:eastAsia="Arial" w:hAnsi="Arial" w:cs="Arial"/>
          <w:color w:val="000000" w:themeColor="text1" w:themeShade="FF" w:themeTint="FF"/>
          <w:sz w:val="24"/>
          <w:szCs w:val="24"/>
        </w:rPr>
        <w:t xml:space="preserve">Students on the 2-year placement version of the programme should complete all of their taught modules and their project and may work in their placement area for a maximum of 12 months. The students will be advised of the deadlines when they need to apply and have their placement confirmed. Students on placement must complete a portfolio assessment and demonstrate ability to apply their teaching in a real business </w:t>
      </w:r>
      <w:r w:rsidRPr="2030048C">
        <w:rPr>
          <w:rFonts w:ascii="Arial" w:eastAsia="Arial" w:hAnsi="Arial" w:cs="Arial"/>
          <w:color w:val="000000" w:themeColor="text1" w:themeShade="FF" w:themeTint="FF"/>
          <w:sz w:val="24"/>
          <w:szCs w:val="24"/>
        </w:rPr>
        <w:t>situation.</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Finance and Investment</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Finance and Investment</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 and Research Methods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BB7023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Financial Econometrics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BA7011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Financial Engineering and Fixed Income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BA7012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Financial Modelling and Data Analytics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BA7006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Global Sustainable Investments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BA7014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PORTFOLIO THEORY AND INVESTMENT BANKING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BK7024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Corporate Reporting and Investor Relations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BA7021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International Money and Finance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BA7020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RISK FINANCING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BK7101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Finance and Investment with Professional Placement</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0"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C"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Finance and Investment with Professional Placement</w:t>
            </w:r>
          </w:p>
        </w:tc>
      </w:tr>
      <w:tr w14:paraId="17F545E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BA7777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i/>
          <w:iCs/>
          <w:color w:val="C0392B"/>
          <w:sz w:val="17"/>
          <w:szCs w:val="17"/>
        </w:rPr>
        <w:t>PLEASE DELETE IF THERE ARE NO LEVEL 7 MODULES IN THIS COURSE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17"/>
          <w:szCs w:val="17"/>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C0392B"/>
          <w:sz w:val="17"/>
          <w:szCs w:val="17"/>
        </w:rPr>
        <w:t>(Where appropriate – specify if there are any core modules that students must achieve for either of the exit awards)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C0392B"/>
          <w:sz w:val="17"/>
          <w:szCs w:val="17"/>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your’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you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you with the opportunity to develop your knowledge and skills relating to at least two United Nations Sustainable Development Goals (UN SDGs). We are committed to empowering you with the knowledge, skills and opportunities to understand and address the UN SDGs: each course is thus also required to prepare you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You are supported through a range of services that provide academic and wider support. These include: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Module leader for each module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programme structure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An induction session at the beginning of the programme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provide advice on issues such as finance, regulations, legal matters, accommodation, international student support etc.</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Careers and Employability Service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Financial databases such as Bloomberg and LSEG’s Refinitiv</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r w:rsidRPr="2030048C">
        <w:rPr>
          <w:rFonts w:ascii="Arial" w:eastAsia="Arial" w:hAnsi="Arial" w:cs="Arial"/>
          <w:i/>
          <w:iCs/>
          <w:sz w:val="24"/>
          <w:szCs w:val="24"/>
        </w:rPr>
        <w:t>:</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QAA Subject benchmarks for Finance</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PSRB standards - Association of Corporate Treasurers (ACT)</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925"/>
        <w:gridCol w:w="367"/>
        <w:gridCol w:w="941"/>
        <w:gridCol w:w="941"/>
        <w:gridCol w:w="941"/>
        <w:gridCol w:w="941"/>
        <w:gridCol w:w="941"/>
        <w:gridCol w:w="941"/>
        <w:gridCol w:w="94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BK7024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BB7023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BA7777</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and January intake</w:t>
      </w:r>
    </w:p>
    <w:p w:rsidRPr="2030048C" w:rsidP="2030048C">
      <w:pPr>
        <w:rPr>
          <w:rFonts w:ascii="Arial" w:eastAsia="Arial" w:hAnsi="Arial" w:cs="Arial"/>
          <w:sz w:val="24"/>
          <w:szCs w:val="24"/>
        </w:rPr>
      </w:pPr>
      <w:r w:rsidRPr="2030048C">
        <w:rPr>
          <w:rFonts w:ascii="Arial" w:eastAsia="Arial" w:hAnsi="Arial" w:cs="Arial"/>
          <w:sz w:val="24"/>
          <w:szCs w:val="24"/>
        </w:rPr>
        <w:t>The first January intake is expected in January 2027. Modules normally delivered in Teaching Block 2 will be taught first to the January intake, while the modules taught in Teaching Block 1 will be delivered to the January cohort alongside the next September intake. </w:t>
      </w:r>
    </w:p>
    <w:p w:rsidRPr="2030048C" w:rsidP="2030048C">
      <w:pPr>
        <w:rPr>
          <w:rFonts w:ascii="Arial" w:eastAsia="Arial" w:hAnsi="Arial" w:cs="Arial"/>
          <w:sz w:val="24"/>
          <w:szCs w:val="24"/>
        </w:rPr>
      </w:pPr>
      <w:r w:rsidRPr="2030048C">
        <w:rPr>
          <w:rFonts w:ascii="Arial" w:eastAsia="Arial" w:hAnsi="Arial" w:cs="Arial"/>
          <w:b/>
          <w:bCs/>
          <w:sz w:val="24"/>
          <w:szCs w:val="24"/>
        </w:rPr>
        <w:t xml:space="preserve">Jan intake </w:t>
      </w:r>
    </w:p>
    <w:p w:rsidRPr="2030048C" w:rsidP="2030048C">
      <w:pPr>
        <w:rPr>
          <w:rFonts w:ascii="Arial" w:eastAsia="Arial" w:hAnsi="Arial" w:cs="Arial"/>
          <w:sz w:val="24"/>
          <w:szCs w:val="24"/>
        </w:rPr>
      </w:pPr>
      <w:r w:rsidRPr="2030048C">
        <w:rPr>
          <w:rFonts w:ascii="Arial" w:eastAsia="Arial" w:hAnsi="Arial" w:cs="Arial"/>
          <w:b/>
          <w:bCs/>
          <w:sz w:val="24"/>
          <w:szCs w:val="24"/>
        </w:rPr>
        <w:t>Core Modules</w:t>
      </w:r>
      <w:r w:rsidRPr="2030048C">
        <w:rPr>
          <w:rFonts w:ascii="Arial" w:eastAsia="Arial" w:hAnsi="Arial" w:cs="Arial"/>
          <w:sz w:val="24"/>
          <w:szCs w:val="24"/>
        </w:rPr>
        <w:br/>
      </w:r>
      <w:r w:rsidRPr="2030048C">
        <w:rPr>
          <w:rFonts w:ascii="Arial" w:eastAsia="Arial" w:hAnsi="Arial" w:cs="Arial"/>
          <w:b/>
          <w:bCs/>
          <w:sz w:val="24"/>
          <w:szCs w:val="24"/>
        </w:rPr>
        <w:t>BA7006 Financial Modelling and Data Analytics</w:t>
      </w:r>
      <w:r w:rsidRPr="2030048C">
        <w:rPr>
          <w:rFonts w:ascii="Arial" w:eastAsia="Arial" w:hAnsi="Arial" w:cs="Arial"/>
          <w:sz w:val="24"/>
          <w:szCs w:val="24"/>
        </w:rPr>
        <w:t xml:space="preserve"> (15 credits, TB2)</w:t>
      </w:r>
    </w:p>
    <w:p w:rsidRPr="2030048C" w:rsidP="2030048C">
      <w:pPr>
        <w:rPr>
          <w:rFonts w:ascii="Arial" w:eastAsia="Arial" w:hAnsi="Arial" w:cs="Arial"/>
          <w:sz w:val="24"/>
          <w:szCs w:val="24"/>
        </w:rPr>
      </w:pPr>
      <w:r w:rsidRPr="2030048C">
        <w:rPr>
          <w:rFonts w:ascii="Arial" w:eastAsia="Arial" w:hAnsi="Arial" w:cs="Arial"/>
          <w:b/>
          <w:bCs/>
          <w:sz w:val="24"/>
          <w:szCs w:val="24"/>
        </w:rPr>
        <w:t>BA7012 Financial Engineering and Fixed Income Analysis</w:t>
      </w:r>
      <w:r w:rsidRPr="2030048C">
        <w:rPr>
          <w:rFonts w:ascii="Arial" w:eastAsia="Arial" w:hAnsi="Arial" w:cs="Arial"/>
          <w:sz w:val="24"/>
          <w:szCs w:val="24"/>
        </w:rPr>
        <w:t xml:space="preserve"> (30 credits, TB2)</w:t>
      </w:r>
    </w:p>
    <w:p w:rsidRPr="2030048C" w:rsidP="2030048C">
      <w:pPr>
        <w:rPr>
          <w:rFonts w:ascii="Arial" w:eastAsia="Arial" w:hAnsi="Arial" w:cs="Arial"/>
          <w:sz w:val="24"/>
          <w:szCs w:val="24"/>
        </w:rPr>
      </w:pPr>
      <w:r w:rsidRPr="2030048C">
        <w:rPr>
          <w:rFonts w:ascii="Arial" w:eastAsia="Arial" w:hAnsi="Arial" w:cs="Arial"/>
          <w:b/>
          <w:bCs/>
          <w:sz w:val="24"/>
          <w:szCs w:val="24"/>
        </w:rPr>
        <w:t>13739 Global Sustainable Investments</w:t>
      </w:r>
      <w:r w:rsidRPr="2030048C">
        <w:rPr>
          <w:rFonts w:ascii="Arial" w:eastAsia="Arial" w:hAnsi="Arial" w:cs="Arial"/>
          <w:sz w:val="24"/>
          <w:szCs w:val="24"/>
        </w:rPr>
        <w:t xml:space="preserve"> (15 credits, TB1)</w:t>
      </w:r>
    </w:p>
    <w:p w:rsidRPr="2030048C" w:rsidP="2030048C">
      <w:pPr>
        <w:rPr>
          <w:rFonts w:ascii="Arial" w:eastAsia="Arial" w:hAnsi="Arial" w:cs="Arial"/>
          <w:sz w:val="24"/>
          <w:szCs w:val="24"/>
        </w:rPr>
      </w:pPr>
      <w:r w:rsidRPr="2030048C">
        <w:rPr>
          <w:rFonts w:ascii="Arial" w:eastAsia="Arial" w:hAnsi="Arial" w:cs="Arial"/>
          <w:b/>
          <w:bCs/>
          <w:sz w:val="24"/>
          <w:szCs w:val="24"/>
        </w:rPr>
        <w:t>BA7011 Financial Econometrics</w:t>
      </w:r>
      <w:r w:rsidRPr="2030048C">
        <w:rPr>
          <w:rFonts w:ascii="Arial" w:eastAsia="Arial" w:hAnsi="Arial" w:cs="Arial"/>
          <w:sz w:val="24"/>
          <w:szCs w:val="24"/>
        </w:rPr>
        <w:t xml:space="preserve"> (15 credits, TB1)</w:t>
      </w:r>
    </w:p>
    <w:p w:rsidRPr="2030048C" w:rsidP="2030048C">
      <w:pPr>
        <w:rPr>
          <w:rFonts w:ascii="Arial" w:eastAsia="Arial" w:hAnsi="Arial" w:cs="Arial"/>
          <w:sz w:val="24"/>
          <w:szCs w:val="24"/>
        </w:rPr>
      </w:pPr>
      <w:r w:rsidRPr="2030048C">
        <w:rPr>
          <w:rFonts w:ascii="Arial" w:eastAsia="Arial" w:hAnsi="Arial" w:cs="Arial"/>
          <w:b/>
          <w:bCs/>
          <w:sz w:val="24"/>
          <w:szCs w:val="24"/>
        </w:rPr>
        <w:t>BK7024 Portfolio Theory and Investment Banking</w:t>
      </w:r>
      <w:r w:rsidRPr="2030048C">
        <w:rPr>
          <w:rFonts w:ascii="Arial" w:eastAsia="Arial" w:hAnsi="Arial" w:cs="Arial"/>
          <w:sz w:val="24"/>
          <w:szCs w:val="24"/>
        </w:rPr>
        <w:t xml:space="preserve"> (30 credits, TB1)</w:t>
      </w:r>
    </w:p>
    <w:p w:rsidRPr="2030048C" w:rsidP="2030048C">
      <w:pPr>
        <w:rPr>
          <w:rFonts w:ascii="Arial" w:eastAsia="Arial" w:hAnsi="Arial" w:cs="Arial"/>
          <w:sz w:val="24"/>
          <w:szCs w:val="24"/>
        </w:rPr>
      </w:pPr>
      <w:r w:rsidRPr="2030048C">
        <w:rPr>
          <w:rFonts w:ascii="Arial" w:eastAsia="Arial" w:hAnsi="Arial" w:cs="Arial"/>
          <w:b/>
          <w:bCs/>
          <w:sz w:val="24"/>
          <w:szCs w:val="24"/>
        </w:rPr>
        <w:t>BB7023 Dissertation and Research Methods</w:t>
      </w:r>
      <w:r w:rsidRPr="2030048C">
        <w:rPr>
          <w:rFonts w:ascii="Arial" w:eastAsia="Arial" w:hAnsi="Arial" w:cs="Arial"/>
          <w:sz w:val="24"/>
          <w:szCs w:val="24"/>
        </w:rPr>
        <w:t xml:space="preserve"> (60 credits, TB3)</w:t>
      </w:r>
    </w:p>
    <w:p w:rsidRPr="2030048C" w:rsidP="2030048C">
      <w:pPr>
        <w:rPr>
          <w:rFonts w:ascii="Arial" w:eastAsia="Arial" w:hAnsi="Arial" w:cs="Arial"/>
          <w:sz w:val="24"/>
          <w:szCs w:val="24"/>
        </w:rPr>
      </w:pPr>
      <w:r w:rsidRPr="2030048C">
        <w:rPr>
          <w:rFonts w:ascii="Arial" w:eastAsia="Arial" w:hAnsi="Arial" w:cs="Arial"/>
          <w:b/>
          <w:bCs/>
          <w:sz w:val="24"/>
          <w:szCs w:val="24"/>
        </w:rPr>
        <w:t>Optional Modules (select one)</w:t>
      </w:r>
      <w:r w:rsidRPr="2030048C">
        <w:rPr>
          <w:rFonts w:ascii="Arial" w:eastAsia="Arial" w:hAnsi="Arial" w:cs="Arial"/>
          <w:sz w:val="24"/>
          <w:szCs w:val="24"/>
        </w:rPr>
        <w:br/>
      </w:r>
      <w:r w:rsidRPr="2030048C">
        <w:rPr>
          <w:rFonts w:ascii="Arial" w:eastAsia="Arial" w:hAnsi="Arial" w:cs="Arial"/>
          <w:sz w:val="24"/>
          <w:szCs w:val="24"/>
        </w:rPr>
        <w:t>All optional modules are delivered in TB2 of Year 1:</w:t>
      </w:r>
    </w:p>
    <w:p w:rsidRPr="2030048C" w:rsidP="2030048C">
      <w:pPr>
        <w:rPr>
          <w:rFonts w:ascii="Arial" w:eastAsia="Arial" w:hAnsi="Arial" w:cs="Arial"/>
          <w:sz w:val="24"/>
          <w:szCs w:val="24"/>
        </w:rPr>
      </w:pPr>
      <w:r w:rsidRPr="2030048C">
        <w:rPr>
          <w:rFonts w:ascii="Arial" w:eastAsia="Arial" w:hAnsi="Arial" w:cs="Arial"/>
          <w:b/>
          <w:bCs/>
          <w:sz w:val="24"/>
          <w:szCs w:val="24"/>
        </w:rPr>
        <w:t>BA7020 International Money and Finance</w:t>
      </w:r>
      <w:r w:rsidRPr="2030048C">
        <w:rPr>
          <w:rFonts w:ascii="Arial" w:eastAsia="Arial" w:hAnsi="Arial" w:cs="Arial"/>
          <w:sz w:val="24"/>
          <w:szCs w:val="24"/>
        </w:rPr>
        <w:t xml:space="preserve"> (15 credits)</w:t>
      </w:r>
    </w:p>
    <w:p w:rsidRPr="2030048C" w:rsidP="2030048C">
      <w:pPr>
        <w:rPr>
          <w:rFonts w:ascii="Arial" w:eastAsia="Arial" w:hAnsi="Arial" w:cs="Arial"/>
          <w:sz w:val="24"/>
          <w:szCs w:val="24"/>
        </w:rPr>
      </w:pPr>
      <w:r w:rsidRPr="2030048C">
        <w:rPr>
          <w:rFonts w:ascii="Arial" w:eastAsia="Arial" w:hAnsi="Arial" w:cs="Arial"/>
          <w:b/>
          <w:bCs/>
          <w:sz w:val="24"/>
          <w:szCs w:val="24"/>
        </w:rPr>
        <w:t>BA7021 Corporate Reporting and Investor Relations</w:t>
      </w:r>
      <w:r w:rsidRPr="2030048C">
        <w:rPr>
          <w:rFonts w:ascii="Arial" w:eastAsia="Arial" w:hAnsi="Arial" w:cs="Arial"/>
          <w:sz w:val="24"/>
          <w:szCs w:val="24"/>
        </w:rPr>
        <w:t xml:space="preserve"> (15 credits)</w:t>
      </w:r>
    </w:p>
    <w:p w:rsidRPr="2030048C" w:rsidP="2030048C">
      <w:pPr>
        <w:rPr>
          <w:rFonts w:ascii="Arial" w:eastAsia="Arial" w:hAnsi="Arial" w:cs="Arial"/>
          <w:sz w:val="24"/>
          <w:szCs w:val="24"/>
        </w:rPr>
      </w:pPr>
      <w:r w:rsidRPr="2030048C">
        <w:rPr>
          <w:rFonts w:ascii="Arial" w:eastAsia="Arial" w:hAnsi="Arial" w:cs="Arial"/>
          <w:b/>
          <w:bCs/>
          <w:sz w:val="24"/>
          <w:szCs w:val="24"/>
        </w:rPr>
        <w:t>BK7101 Risk Financing</w:t>
      </w:r>
      <w:r w:rsidRPr="2030048C">
        <w:rPr>
          <w:rFonts w:ascii="Arial" w:eastAsia="Arial" w:hAnsi="Arial" w:cs="Arial"/>
          <w:sz w:val="24"/>
          <w:szCs w:val="24"/>
        </w:rPr>
        <w:t xml:space="preserve"> (15 credits)</w:t>
      </w:r>
    </w:p>
    <w:p w:rsidRPr="2030048C" w:rsidP="2030048C">
      <w:pPr>
        <w:rPr>
          <w:rFonts w:ascii="Arial" w:eastAsia="Arial" w:hAnsi="Arial" w:cs="Arial"/>
          <w:sz w:val="24"/>
          <w:szCs w:val="24"/>
        </w:rPr>
      </w:pPr>
      <w:r w:rsidRPr="2030048C">
        <w:rPr>
          <w:rFonts w:ascii="Arial" w:eastAsia="Arial" w:hAnsi="Arial" w:cs="Arial"/>
          <w:b/>
          <w:bCs/>
          <w:sz w:val="24"/>
          <w:szCs w:val="24"/>
        </w:rPr>
        <w:t>Placement (Optional)</w:t>
      </w:r>
    </w:p>
    <w:p w:rsidRPr="2030048C" w:rsidP="2030048C">
      <w:pPr>
        <w:rPr>
          <w:rFonts w:ascii="Arial" w:eastAsia="Arial" w:hAnsi="Arial" w:cs="Arial"/>
          <w:sz w:val="24"/>
          <w:szCs w:val="24"/>
        </w:rPr>
      </w:pPr>
      <w:r w:rsidRPr="2030048C">
        <w:rPr>
          <w:rFonts w:ascii="Arial" w:eastAsia="Arial" w:hAnsi="Arial" w:cs="Arial"/>
          <w:b/>
          <w:bCs/>
          <w:sz w:val="24"/>
          <w:szCs w:val="24"/>
        </w:rPr>
        <w:t>BA7777 Professional Placement</w:t>
      </w:r>
      <w:r w:rsidRPr="2030048C">
        <w:rPr>
          <w:rFonts w:ascii="Arial" w:eastAsia="Arial" w:hAnsi="Arial" w:cs="Arial"/>
          <w:sz w:val="24"/>
          <w:szCs w:val="24"/>
        </w:rPr>
        <w:t xml:space="preserve"> (120 credits, Year-long, Year 2 - Optional)</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multilevel"/>
    <w:tmpl w:val="74989B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MsoBodyText">
    <w:name w:val="MsoBodyText"/>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FB7295C2-B705-40B8-927F-9BA34E41AAAA}"/>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