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Marketing and Analytics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Marketing and Analytics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Digital Marketing and Analytics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Digital Marketing and Analytics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PFDMA1DMA20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Marketing and Analytics with Professional Placement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Digital Marketing and Analytics with Professional Placement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Digital Marketing and Analytics with Professional Placement year</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PFDMA1DMA99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programme will be accredited by the Digital Marketing Institute (DMI)</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the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build students' understanding and critical appreciation of digital marketing concepts, strategy, techniques, and analytics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subject-related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research specific areas of digital marketing, via modules and, more specifically, the dissertation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 students to gain an understanding of research methods and analytics necessary for digital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make an immediate effective contribution upon their employment in the digital marketing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digital marketing and analytics within the overall context of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marketing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and critically reflect upon theoretical and practical concepts relevant to digital marketing and analytics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relevant knowledge in the fields of digital marketing and analytics and apply it to the solution of digital marketing and marketing analytics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conduct independent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and critically reflect upon contemporary issues faced by digital marketing practitioners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synthesise complex information from a variety of data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(as appropriate) from a wide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Marketing and Analytics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Marketing and Analytics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Tools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 RESEARCH AND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Marketing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Digital Marketing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tbc</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Marketing and Analytics with Professional Placement year</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Marketing and Analytics with Professional Placement year</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Tools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 RESEARCH AND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Marketing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Digital Marketing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and Curriculum Design (inclusion Learning Design Principles and 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PG Business Assignment Writing Skills course by the English for Academic and Professional Development (EAPD)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team that provides valuable guidance in supporting students with their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workplace supervisor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and active practitioners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LinkedIn Learning – professional training to support and complement the academic syllabus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Assessment moderation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 Statement for Master's degrees in Business and Management (March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748"/>
        <w:gridCol w:w="367"/>
        <w:gridCol w:w="967"/>
        <w:gridCol w:w="967"/>
        <w:gridCol w:w="967"/>
        <w:gridCol w:w="967"/>
        <w:gridCol w:w="967"/>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7E54B1C-E32F-4BCF-BE66-B6A05316C0E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