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Criminology with Forensic Psychology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02/11/2012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20/05/2025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11</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Criminology, Politics and Sociology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Criminology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Criminology</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PgDip Criminology</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PPCRI1CRI20</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PFCRI1CRI20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Criminology with Forensic Psychology</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Criminology with Forensic Psychology</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PgDip Criminology with Forensic Psychology</w:t>
            </w: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PPCRI3FPY20</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PFCRI3FPY20</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qualifications for the programme are:</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A good first degree </w:t>
            </w:r>
            <w:r w:rsidRPr="2030048C">
              <w:rPr>
                <w:rStyle w:val="normaltextrun"/>
                <w:rFonts w:ascii="Arial" w:eastAsia="Arial" w:hAnsi="Arial" w:cs="Arial"/>
                <w:b w:val="0"/>
                <w:bCs w:val="0"/>
                <w:color w:val="000000"/>
                <w:sz w:val="24"/>
                <w:szCs w:val="24"/>
                <w:shd w:val="clear" w:color="auto" w:fill="FFFFFF"/>
              </w:rPr>
              <w:t>(minimum classification</w:t>
            </w:r>
            <w:r w:rsidRPr="2030048C">
              <w:rPr>
                <w:rStyle w:val="normaltextrun"/>
                <w:rFonts w:ascii="Arial" w:eastAsia="Arial" w:hAnsi="Arial" w:cs="Arial"/>
                <w:b w:val="0"/>
                <w:bCs w:val="0"/>
                <w:color w:val="000000"/>
                <w:sz w:val="24"/>
                <w:szCs w:val="24"/>
                <w:shd w:val="clear" w:color="auto" w:fill="FFFFFF"/>
              </w:rPr>
              <w:t xml:space="preserve"> lower second</w:t>
            </w:r>
            <w:r w:rsidRPr="2030048C">
              <w:rPr>
                <w:rStyle w:val="normaltextrun"/>
                <w:rFonts w:ascii="Arial" w:eastAsia="Arial" w:hAnsi="Arial" w:cs="Arial"/>
                <w:b w:val="0"/>
                <w:bCs w:val="0"/>
                <w:color w:val="000000"/>
                <w:sz w:val="24"/>
                <w:szCs w:val="24"/>
                <w:shd w:val="clear" w:color="auto" w:fill="FFFFFF"/>
              </w:rPr>
              <w:t>)</w:t>
            </w:r>
            <w:r w:rsidRPr="2030048C">
              <w:rPr>
                <w:rStyle w:val="normaltextrun"/>
                <w:rFonts w:ascii="Arial" w:eastAsia="Arial" w:hAnsi="Arial" w:cs="Arial"/>
                <w:b w:val="0"/>
                <w:bCs w:val="0"/>
                <w:color w:val="000000"/>
                <w:sz w:val="24"/>
                <w:szCs w:val="24"/>
                <w:shd w:val="clear" w:color="auto" w:fill="FFFFFF"/>
              </w:rPr>
              <w:t xml:space="preserve"> in a relevant area and or professional / practitioner ex</w:t>
            </w:r>
            <w:r w:rsidRPr="2030048C">
              <w:rPr>
                <w:rStyle w:val="normaltextrun"/>
                <w:rFonts w:ascii="Arial" w:eastAsia="Arial" w:hAnsi="Arial" w:cs="Arial"/>
                <w:b w:val="0"/>
                <w:bCs w:val="0"/>
                <w:color w:val="000000"/>
                <w:sz w:val="24"/>
                <w:szCs w:val="24"/>
                <w:shd w:val="clear" w:color="auto" w:fill="FFFFFF"/>
              </w:rPr>
              <w:t>perience a</w:t>
            </w:r>
            <w:r w:rsidRPr="2030048C">
              <w:rPr>
                <w:rStyle w:val="normaltextrun"/>
                <w:rFonts w:ascii="Arial" w:eastAsia="Arial" w:hAnsi="Arial" w:cs="Arial"/>
                <w:b w:val="0"/>
                <w:bCs w:val="0"/>
                <w:color w:val="000000"/>
                <w:sz w:val="24"/>
                <w:szCs w:val="24"/>
                <w:shd w:val="clear" w:color="auto" w:fill="FFFFFF"/>
              </w:rPr>
              <w:t>t an</w:t>
            </w:r>
            <w:r w:rsidRPr="2030048C">
              <w:rPr>
                <w:rStyle w:val="normaltextrun"/>
                <w:rFonts w:ascii="Arial" w:eastAsia="Arial" w:hAnsi="Arial" w:cs="Arial"/>
                <w:b w:val="0"/>
                <w:bCs w:val="0"/>
                <w:color w:val="000000"/>
                <w:sz w:val="24"/>
                <w:szCs w:val="24"/>
                <w:shd w:val="clear" w:color="auto" w:fill="FFFFFF"/>
              </w:rPr>
              <w:t xml:space="preserve"> appropria</w:t>
            </w:r>
            <w:r w:rsidRPr="2030048C">
              <w:rPr>
                <w:rStyle w:val="normaltextrun"/>
                <w:rFonts w:ascii="Arial" w:eastAsia="Arial" w:hAnsi="Arial" w:cs="Arial"/>
                <w:b w:val="0"/>
                <w:bCs w:val="0"/>
                <w:color w:val="000000"/>
                <w:sz w:val="24"/>
                <w:szCs w:val="24"/>
                <w:shd w:val="clear" w:color="auto" w:fill="FFFFFF"/>
              </w:rPr>
              <w:t xml:space="preserve">te </w:t>
            </w:r>
            <w:r w:rsidRPr="2030048C">
              <w:rPr>
                <w:rStyle w:val="normaltextrun"/>
                <w:rFonts w:ascii="Arial" w:eastAsia="Arial" w:hAnsi="Arial" w:cs="Arial"/>
                <w:b w:val="0"/>
                <w:bCs w:val="0"/>
                <w:color w:val="000000"/>
                <w:sz w:val="24"/>
                <w:szCs w:val="24"/>
                <w:shd w:val="clear" w:color="auto" w:fill="FFFFFF"/>
              </w:rPr>
              <w:t>lev</w:t>
            </w:r>
            <w:r w:rsidRPr="2030048C">
              <w:rPr>
                <w:rStyle w:val="normaltextrun"/>
                <w:rFonts w:ascii="Arial" w:eastAsia="Arial" w:hAnsi="Arial" w:cs="Arial"/>
                <w:b w:val="0"/>
                <w:bCs w:val="0"/>
                <w:color w:val="000000"/>
                <w:sz w:val="24"/>
                <w:szCs w:val="24"/>
                <w:shd w:val="clear" w:color="auto" w:fill="FFFFFF"/>
              </w:rPr>
              <w:t>el</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 xml:space="preserve">for an appropriate </w:t>
            </w:r>
            <w:r w:rsidRPr="2030048C">
              <w:rPr>
                <w:rStyle w:val="normaltextrun"/>
                <w:rFonts w:ascii="Arial" w:eastAsia="Arial" w:hAnsi="Arial" w:cs="Arial"/>
                <w:b w:val="0"/>
                <w:bCs w:val="0"/>
                <w:color w:val="000000"/>
                <w:sz w:val="24"/>
                <w:szCs w:val="24"/>
                <w:shd w:val="clear" w:color="auto" w:fill="FFFFFF"/>
              </w:rPr>
              <w:t>timeframe</w:t>
            </w:r>
            <w:r w:rsidRPr="2030048C">
              <w:rPr>
                <w:rStyle w:val="normaltextrun"/>
                <w:rFonts w:ascii="Arial" w:eastAsia="Arial" w:hAnsi="Arial" w:cs="Arial"/>
                <w:b w:val="0"/>
                <w:bCs w:val="0"/>
                <w:color w:val="000000"/>
                <w:sz w:val="24"/>
                <w:szCs w:val="24"/>
                <w:shd w:val="clear" w:color="auto" w:fill="FFFFFF"/>
              </w:rPr>
              <w:t xml:space="preserve"> in a relevant field.</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minimum IELTS scor</w:t>
            </w:r>
            <w:r w:rsidRPr="2030048C">
              <w:rPr>
                <w:rStyle w:val="normaltextrun"/>
                <w:rFonts w:ascii="Arial" w:eastAsia="Arial" w:hAnsi="Arial" w:cs="Arial"/>
                <w:b w:val="0"/>
                <w:bCs w:val="0"/>
                <w:color w:val="000000"/>
                <w:sz w:val="24"/>
                <w:szCs w:val="24"/>
                <w:shd w:val="clear" w:color="auto" w:fill="FFFFFF"/>
              </w:rPr>
              <w:t>e of 6</w:t>
            </w:r>
            <w:r w:rsidRPr="2030048C">
              <w:rPr>
                <w:rStyle w:val="normaltextrun"/>
                <w:rFonts w:ascii="Arial" w:eastAsia="Arial" w:hAnsi="Arial" w:cs="Arial"/>
                <w:b w:val="0"/>
                <w:bCs w:val="0"/>
                <w:color w:val="000000"/>
                <w:sz w:val="24"/>
                <w:szCs w:val="24"/>
                <w:shd w:val="clear" w:color="auto" w:fill="FFFFFF"/>
              </w:rPr>
              <w:t>.5</w:t>
            </w:r>
            <w:r w:rsidRPr="2030048C">
              <w:rPr>
                <w:rStyle w:val="normaltextrun"/>
                <w:rFonts w:ascii="Arial" w:eastAsia="Arial" w:hAnsi="Arial" w:cs="Arial"/>
                <w:b w:val="0"/>
                <w:bCs w:val="0"/>
                <w:color w:val="000000"/>
                <w:sz w:val="24"/>
                <w:szCs w:val="24"/>
                <w:shd w:val="clear" w:color="auto" w:fill="FFFFFF"/>
              </w:rPr>
              <w:t xml:space="preserve"> (with 7.0 in </w:t>
            </w:r>
            <w:r w:rsidRPr="2030048C">
              <w:rPr>
                <w:rStyle w:val="normaltextrun"/>
                <w:rFonts w:ascii="Arial" w:eastAsia="Arial" w:hAnsi="Arial" w:cs="Arial"/>
                <w:b w:val="0"/>
                <w:bCs w:val="0"/>
                <w:color w:val="000000"/>
                <w:sz w:val="24"/>
                <w:szCs w:val="24"/>
                <w:shd w:val="clear" w:color="auto" w:fill="FFFFFF"/>
              </w:rPr>
              <w:t>writing</w:t>
            </w:r>
            <w:r w:rsidRPr="2030048C">
              <w:rPr>
                <w:rStyle w:val="normaltextrun"/>
                <w:rFonts w:ascii="Arial" w:eastAsia="Arial" w:hAnsi="Arial" w:cs="Arial"/>
                <w:b w:val="0"/>
                <w:bCs w:val="0"/>
                <w:color w:val="000000"/>
                <w:sz w:val="24"/>
                <w:szCs w:val="24"/>
                <w:shd w:val="clear" w:color="auto" w:fill="FFFFFF"/>
              </w:rPr>
              <w:t>)</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or equivalent is required for those for whom English is not their first language.</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There are no variants to the Postgraduate Regulations.</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ind w:left="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main aims are</w:t>
      </w:r>
      <w:r w:rsidRPr="2030048C">
        <w:rPr>
          <w:rStyle w:val="normaltextrun"/>
          <w:rFonts w:ascii="Arial" w:hAnsi="Arial" w:cs="Arial"/>
          <w:color w:val="000000" w:themeColor="text1"/>
          <w:sz w:val="24"/>
          <w:szCs w:val="24"/>
          <w:shd w:val="clear" w:color="auto" w:fill="FFFFFF"/>
        </w:rPr>
        <w:t>:</w:t>
      </w:r>
    </w:p>
    <w:p w:rsidRPr="2030048C" w:rsidP="2030048C">
      <w:pPr>
        <w:pStyle w:val="ListParagraph"/>
        <w:numPr>
          <w:ilvl w:val="0"/>
          <w:numId w:val="12"/>
        </w:numPr>
        <w:ind w:left="108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develop in students the knowledge and skills to critically analyse contemporary theoretical issues and enable them to engage with debates about the st</w:t>
      </w:r>
      <w:r w:rsidRPr="2030048C">
        <w:rPr>
          <w:rStyle w:val="normaltextrun"/>
          <w:rFonts w:ascii="Arial" w:hAnsi="Arial" w:cs="Arial"/>
          <w:color w:val="000000" w:themeColor="text1"/>
          <w:sz w:val="24"/>
          <w:szCs w:val="24"/>
          <w:shd w:val="clear" w:color="auto" w:fill="FFFFFF"/>
        </w:rPr>
        <w:t>udy of crime from a local and g</w:t>
      </w:r>
      <w:r w:rsidRPr="2030048C">
        <w:rPr>
          <w:rStyle w:val="normaltextrun"/>
          <w:rFonts w:ascii="Arial" w:hAnsi="Arial" w:cs="Arial"/>
          <w:color w:val="000000" w:themeColor="text1"/>
          <w:sz w:val="24"/>
          <w:szCs w:val="24"/>
          <w:shd w:val="clear" w:color="auto" w:fill="FFFFFF"/>
        </w:rPr>
        <w:t xml:space="preserve">lobal </w:t>
      </w:r>
      <w:r w:rsidRPr="2030048C">
        <w:rPr>
          <w:rStyle w:val="normaltextrun"/>
          <w:rFonts w:ascii="Arial" w:hAnsi="Arial" w:cs="Arial"/>
          <w:color w:val="000000" w:themeColor="text1"/>
          <w:sz w:val="24"/>
          <w:szCs w:val="24"/>
          <w:shd w:val="clear" w:color="auto" w:fill="FFFFFF"/>
        </w:rPr>
        <w:t>perspective.</w:t>
      </w:r>
    </w:p>
    <w:p w:rsidRPr="2030048C" w:rsidP="2030048C">
      <w:pPr>
        <w:pStyle w:val="ListParagraph"/>
        <w:numPr>
          <w:ilvl w:val="0"/>
          <w:numId w:val="12"/>
        </w:numPr>
        <w:ind w:left="108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st</w:t>
      </w:r>
      <w:r w:rsidRPr="2030048C">
        <w:rPr>
          <w:rStyle w:val="normaltextrun"/>
          <w:rFonts w:ascii="Arial" w:hAnsi="Arial" w:cs="Arial"/>
          <w:color w:val="000000" w:themeColor="text1"/>
          <w:sz w:val="24"/>
          <w:szCs w:val="24"/>
          <w:shd w:val="clear" w:color="auto" w:fill="FFFFFF"/>
        </w:rPr>
        <w:t>ud</w:t>
      </w:r>
      <w:r w:rsidRPr="2030048C">
        <w:rPr>
          <w:rStyle w:val="normaltextrun"/>
          <w:rFonts w:ascii="Arial" w:hAnsi="Arial" w:cs="Arial"/>
          <w:color w:val="000000" w:themeColor="text1"/>
          <w:sz w:val="24"/>
          <w:szCs w:val="24"/>
          <w:shd w:val="clear" w:color="auto" w:fill="FFFFFF"/>
        </w:rPr>
        <w:t>ent</w:t>
      </w:r>
      <w:r w:rsidRPr="2030048C">
        <w:rPr>
          <w:rStyle w:val="normaltextrun"/>
          <w:rFonts w:ascii="Arial" w:hAnsi="Arial" w:cs="Arial"/>
          <w:color w:val="000000" w:themeColor="text1"/>
          <w:sz w:val="24"/>
          <w:szCs w:val="24"/>
          <w:shd w:val="clear" w:color="auto" w:fill="FFFFFF"/>
        </w:rPr>
        <w:t>s</w:t>
      </w:r>
      <w:r w:rsidRPr="2030048C">
        <w:rPr>
          <w:rStyle w:val="normaltextrun"/>
          <w:rFonts w:ascii="Arial" w:hAnsi="Arial" w:cs="Arial"/>
          <w:color w:val="000000" w:themeColor="text1"/>
          <w:sz w:val="24"/>
          <w:szCs w:val="24"/>
          <w:shd w:val="clear" w:color="auto" w:fill="FFFFFF"/>
        </w:rPr>
        <w:t xml:space="preserve"> to understand and critically evaluate the dynamics of social, ideological, political, economical and legal influences on the </w:t>
      </w:r>
      <w:r w:rsidRPr="2030048C">
        <w:rPr>
          <w:rStyle w:val="normaltextrun"/>
          <w:rFonts w:ascii="Arial" w:hAnsi="Arial" w:cs="Arial"/>
          <w:color w:val="000000" w:themeColor="text1"/>
          <w:sz w:val="24"/>
          <w:szCs w:val="24"/>
          <w:shd w:val="clear" w:color="auto" w:fill="FFFFFF"/>
        </w:rPr>
        <w:t xml:space="preserve">construction of </w:t>
      </w:r>
      <w:r w:rsidRPr="2030048C">
        <w:rPr>
          <w:rStyle w:val="normaltextrun"/>
          <w:rFonts w:ascii="Arial" w:hAnsi="Arial" w:cs="Arial"/>
          <w:color w:val="000000" w:themeColor="text1"/>
          <w:sz w:val="24"/>
          <w:szCs w:val="24"/>
          <w:shd w:val="clear" w:color="auto" w:fill="FFFFFF"/>
        </w:rPr>
        <w:t>crime</w:t>
      </w: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w:t>
      </w:r>
    </w:p>
    <w:p w:rsidRPr="2030048C" w:rsidP="2030048C">
      <w:pPr>
        <w:pStyle w:val="ListParagraph"/>
        <w:numPr>
          <w:ilvl w:val="0"/>
          <w:numId w:val="12"/>
        </w:numPr>
        <w:ind w:left="108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students to understand and critically evaluate the dynamics of social,</w:t>
      </w:r>
      <w:r w:rsidRPr="2030048C">
        <w:rPr>
          <w:rStyle w:val="normaltextrun"/>
          <w:rFonts w:ascii="Arial" w:hAnsi="Arial" w:cs="Arial"/>
          <w:color w:val="000000" w:themeColor="text1"/>
          <w:sz w:val="24"/>
          <w:szCs w:val="24"/>
          <w:shd w:val="clear" w:color="auto" w:fill="FFFFFF"/>
        </w:rPr>
        <w:t xml:space="preserve"> ide</w:t>
      </w:r>
      <w:r w:rsidRPr="2030048C">
        <w:rPr>
          <w:rStyle w:val="normaltextrun"/>
          <w:rFonts w:ascii="Arial" w:hAnsi="Arial" w:cs="Arial"/>
          <w:color w:val="000000" w:themeColor="text1"/>
          <w:sz w:val="24"/>
          <w:szCs w:val="24"/>
          <w:shd w:val="clear" w:color="auto" w:fill="FFFFFF"/>
        </w:rPr>
        <w:t>olog</w:t>
      </w:r>
      <w:r w:rsidRPr="2030048C">
        <w:rPr>
          <w:rStyle w:val="normaltextrun"/>
          <w:rFonts w:ascii="Arial" w:hAnsi="Arial" w:cs="Arial"/>
          <w:color w:val="000000" w:themeColor="text1"/>
          <w:sz w:val="24"/>
          <w:szCs w:val="24"/>
          <w:shd w:val="clear" w:color="auto" w:fill="FFFFFF"/>
        </w:rPr>
        <w:t xml:space="preserve">ical, </w:t>
      </w:r>
      <w:r w:rsidRPr="2030048C">
        <w:rPr>
          <w:rStyle w:val="normaltextrun"/>
          <w:rFonts w:ascii="Arial" w:hAnsi="Arial" w:cs="Arial"/>
          <w:color w:val="000000" w:themeColor="text1"/>
          <w:sz w:val="24"/>
          <w:szCs w:val="24"/>
          <w:shd w:val="clear" w:color="auto" w:fill="FFFFFF"/>
        </w:rPr>
        <w:t>politic</w:t>
      </w:r>
      <w:r w:rsidRPr="2030048C">
        <w:rPr>
          <w:rStyle w:val="normaltextrun"/>
          <w:rFonts w:ascii="Arial" w:hAnsi="Arial" w:cs="Arial"/>
          <w:color w:val="000000" w:themeColor="text1"/>
          <w:sz w:val="24"/>
          <w:szCs w:val="24"/>
          <w:shd w:val="clear" w:color="auto" w:fill="FFFFFF"/>
        </w:rPr>
        <w:t>al</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c</w:t>
      </w:r>
      <w:r w:rsidRPr="2030048C">
        <w:rPr>
          <w:rStyle w:val="normaltextrun"/>
          <w:rFonts w:ascii="Arial" w:hAnsi="Arial" w:cs="Arial"/>
          <w:color w:val="000000" w:themeColor="text1"/>
          <w:sz w:val="24"/>
          <w:szCs w:val="24"/>
          <w:shd w:val="clear" w:color="auto" w:fill="FFFFFF"/>
        </w:rPr>
        <w:t>onomical</w:t>
      </w:r>
      <w:r w:rsidRPr="2030048C">
        <w:rPr>
          <w:rStyle w:val="normaltextrun"/>
          <w:rFonts w:ascii="Arial" w:hAnsi="Arial" w:cs="Arial"/>
          <w:color w:val="000000" w:themeColor="text1"/>
          <w:sz w:val="24"/>
          <w:szCs w:val="24"/>
          <w:shd w:val="clear" w:color="auto" w:fill="FFFFFF"/>
        </w:rPr>
        <w:t xml:space="preserve"> and legal influences on the development of criminal justice </w:t>
      </w:r>
      <w:r w:rsidRPr="2030048C">
        <w:rPr>
          <w:rStyle w:val="normaltextrun"/>
          <w:rFonts w:ascii="Arial" w:hAnsi="Arial" w:cs="Arial"/>
          <w:color w:val="000000" w:themeColor="text1"/>
          <w:sz w:val="24"/>
          <w:szCs w:val="24"/>
          <w:shd w:val="clear" w:color="auto" w:fill="FFFFFF"/>
        </w:rPr>
        <w:t>policy.</w:t>
      </w:r>
      <w:r w:rsidRPr="2030048C">
        <w:rPr>
          <w:rStyle w:val="normaltextrun"/>
          <w:rFonts w:ascii="Arial" w:hAnsi="Arial" w:cs="Arial"/>
          <w:color w:val="000000" w:themeColor="text1"/>
          <w:sz w:val="24"/>
          <w:szCs w:val="24"/>
          <w:shd w:val="clear" w:color="auto" w:fill="FFFFFF"/>
        </w:rPr>
        <w:t xml:space="preserve"> </w:t>
      </w:r>
    </w:p>
    <w:p w:rsidRPr="2030048C" w:rsidP="2030048C">
      <w:pPr>
        <w:pStyle w:val="ListParagraph"/>
        <w:numPr>
          <w:ilvl w:val="0"/>
          <w:numId w:val="12"/>
        </w:numPr>
        <w:ind w:left="108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provide students with a theoretical framework for understanding local, national and </w:t>
      </w:r>
      <w:r w:rsidRPr="2030048C">
        <w:rPr>
          <w:rStyle w:val="normaltextrun"/>
          <w:rFonts w:ascii="Arial" w:hAnsi="Arial" w:cs="Arial"/>
          <w:color w:val="000000" w:themeColor="text1"/>
          <w:sz w:val="24"/>
          <w:szCs w:val="24"/>
          <w:shd w:val="clear" w:color="auto" w:fill="FFFFFF"/>
        </w:rPr>
        <w:t>international approaches to</w:t>
      </w:r>
      <w:r w:rsidRPr="2030048C">
        <w:rPr>
          <w:rStyle w:val="normaltextrun"/>
          <w:rFonts w:ascii="Arial" w:hAnsi="Arial" w:cs="Arial"/>
          <w:color w:val="000000" w:themeColor="text1"/>
          <w:sz w:val="24"/>
          <w:szCs w:val="24"/>
          <w:shd w:val="clear" w:color="auto" w:fill="FFFFFF"/>
        </w:rPr>
        <w:t xml:space="preserve"> crime </w:t>
      </w:r>
      <w:r w:rsidRPr="2030048C">
        <w:rPr>
          <w:rStyle w:val="normaltextrun"/>
          <w:rFonts w:ascii="Arial" w:hAnsi="Arial" w:cs="Arial"/>
          <w:color w:val="000000" w:themeColor="text1"/>
          <w:sz w:val="24"/>
          <w:szCs w:val="24"/>
          <w:shd w:val="clear" w:color="auto" w:fill="FFFFFF"/>
        </w:rPr>
        <w:t>control.</w:t>
      </w:r>
    </w:p>
    <w:p w:rsidRPr="2030048C" w:rsidP="2030048C">
      <w:pPr>
        <w:pStyle w:val="ListParagraph"/>
        <w:numPr>
          <w:ilvl w:val="0"/>
          <w:numId w:val="12"/>
        </w:numPr>
        <w:ind w:left="108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a range</w:t>
      </w:r>
      <w:r w:rsidRPr="2030048C">
        <w:rPr>
          <w:rStyle w:val="normaltextrun"/>
          <w:rFonts w:ascii="Arial" w:hAnsi="Arial" w:cs="Arial"/>
          <w:color w:val="000000" w:themeColor="text1"/>
          <w:sz w:val="24"/>
          <w:szCs w:val="24"/>
          <w:shd w:val="clear" w:color="auto" w:fill="FFFFFF"/>
        </w:rPr>
        <w:t xml:space="preserve"> of research</w:t>
      </w:r>
      <w:r w:rsidRPr="2030048C">
        <w:rPr>
          <w:rStyle w:val="normaltextrun"/>
          <w:rFonts w:ascii="Arial" w:hAnsi="Arial" w:cs="Arial"/>
          <w:color w:val="000000" w:themeColor="text1"/>
          <w:sz w:val="24"/>
          <w:szCs w:val="24"/>
          <w:shd w:val="clear" w:color="auto" w:fill="FFFFFF"/>
        </w:rPr>
        <w:t xml:space="preserve"> ski</w:t>
      </w:r>
      <w:r w:rsidRPr="2030048C">
        <w:rPr>
          <w:rStyle w:val="normaltextrun"/>
          <w:rFonts w:ascii="Arial" w:hAnsi="Arial" w:cs="Arial"/>
          <w:color w:val="000000" w:themeColor="text1"/>
          <w:sz w:val="24"/>
          <w:szCs w:val="24"/>
          <w:shd w:val="clear" w:color="auto" w:fill="FFFFFF"/>
        </w:rPr>
        <w:t>lls fo</w:t>
      </w:r>
      <w:r w:rsidRPr="2030048C">
        <w:rPr>
          <w:rStyle w:val="normaltextrun"/>
          <w:rFonts w:ascii="Arial" w:hAnsi="Arial" w:cs="Arial"/>
          <w:color w:val="000000" w:themeColor="text1"/>
          <w:sz w:val="24"/>
          <w:szCs w:val="24"/>
          <w:shd w:val="clear" w:color="auto" w:fill="FFFFFF"/>
        </w:rPr>
        <w:t>r appli</w:t>
      </w:r>
      <w:r w:rsidRPr="2030048C">
        <w:rPr>
          <w:rStyle w:val="normaltextrun"/>
          <w:rFonts w:ascii="Arial" w:hAnsi="Arial" w:cs="Arial"/>
          <w:color w:val="000000" w:themeColor="text1"/>
          <w:sz w:val="24"/>
          <w:szCs w:val="24"/>
          <w:shd w:val="clear" w:color="auto" w:fill="FFFFFF"/>
        </w:rPr>
        <w:t>ca</w:t>
      </w:r>
      <w:r w:rsidRPr="2030048C">
        <w:rPr>
          <w:rStyle w:val="normaltextrun"/>
          <w:rFonts w:ascii="Arial" w:hAnsi="Arial" w:cs="Arial"/>
          <w:color w:val="000000" w:themeColor="text1"/>
          <w:sz w:val="24"/>
          <w:szCs w:val="24"/>
          <w:shd w:val="clear" w:color="auto" w:fill="FFFFFF"/>
        </w:rPr>
        <w:t>tio</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 xml:space="preserve"> to independent </w:t>
      </w:r>
      <w:r w:rsidRPr="2030048C">
        <w:rPr>
          <w:rStyle w:val="normaltextrun"/>
          <w:rFonts w:ascii="Arial" w:hAnsi="Arial" w:cs="Arial"/>
          <w:color w:val="000000" w:themeColor="text1"/>
          <w:sz w:val="24"/>
          <w:szCs w:val="24"/>
          <w:shd w:val="clear" w:color="auto" w:fill="FFFFFF"/>
        </w:rPr>
        <w:t>research</w:t>
      </w:r>
      <w:r w:rsidRPr="2030048C">
        <w:rPr>
          <w:rStyle w:val="normaltextrun"/>
          <w:rFonts w:ascii="Arial" w:hAnsi="Arial" w:cs="Arial"/>
          <w:color w:val="000000" w:themeColor="text1"/>
          <w:sz w:val="24"/>
          <w:szCs w:val="24"/>
          <w:shd w:val="clear" w:color="auto" w:fill="FFFFFF"/>
        </w:rPr>
        <w:t>.</w:t>
      </w:r>
    </w:p>
    <w:p w:rsidRPr="2030048C" w:rsidP="2030048C">
      <w:pPr>
        <w:pStyle w:val="ListParagraph"/>
        <w:numPr>
          <w:ilvl w:val="0"/>
          <w:numId w:val="12"/>
        </w:numPr>
        <w:ind w:left="108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formulate, design and strategically plan an extended p</w:t>
      </w:r>
      <w:r w:rsidRPr="2030048C">
        <w:rPr>
          <w:rStyle w:val="normaltextrun"/>
          <w:rFonts w:ascii="Arial" w:hAnsi="Arial" w:cs="Arial"/>
          <w:color w:val="000000" w:themeColor="text1"/>
          <w:sz w:val="24"/>
          <w:szCs w:val="24"/>
          <w:shd w:val="clear" w:color="auto" w:fill="FFFFFF"/>
        </w:rPr>
        <w:t>iece of criminological research</w:t>
      </w:r>
      <w:r w:rsidRPr="2030048C">
        <w:rPr>
          <w:rStyle w:val="normaltextrun"/>
          <w:rFonts w:ascii="Arial" w:hAnsi="Arial" w:cs="Arial"/>
          <w:color w:val="000000" w:themeColor="text1"/>
          <w:sz w:val="24"/>
          <w:szCs w:val="24"/>
          <w:shd w:val="clear" w:color="auto" w:fill="FFFFFF"/>
        </w:rPr>
        <w:t>.</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knowledge of the major concepts and debates in the legal and investigative domains of forensic psychology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B7</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research within the investigative domain of forensic psychology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reflective, analytical and observational skills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engage critically with current debates on law, crime and the criminal justice process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conceptualise an individual piece of extended research.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employ critical evaluation skills in the application of theory to practice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analytical concepts to critically evaluate claim making in criminology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their ability to be independent autonomous learners and engage in reflective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operationalise an individual piece of extended research successfully to completion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local, national and international contexts of crime, victimisation and crime control</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contextualise criminological problems, formulate questions and investigate them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analyse data using appropriate software packages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dynamics of social, ideological, political, economic, legal and technological influences on the development of criminal justice policy and crime construction from inclusive and international perspectives.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deconstruct and explain complex social problems in terms of theory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enable active engagement with a community of peers in academic debate and dialogue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advanced level of knowledge and critical understanding of developments in contemporary criminological and victimological theorising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evaluate contemporary issues of policy, crime control and punishment within a local and international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synthesise data and evidence and present it an appropriate format for a variety of audiences.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methods and principles of social research and evaluative research  as applicable to criminological topics and of the ethical principles governing criminological research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objectively analyse, assess and communicate empirical information about crime, victimisation, responses to crime and deviance from inclusive and international perspectives.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programme is offered in full-time/part-time/ mode, and leads to the award of MSc Criminology with Forensic Psychology or MSc Criminology</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Criminology</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Criminology</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Criminology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CM7007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Critical Criminology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CM7016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Dissertation Research Methods and Professional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CM7020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Penology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CM7025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Understanding Crime and Criminal Careers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CM7015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Victimology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CM7019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66934EB1" w:rsidP="2030048C" w14:paraId="203697D8"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Criminology with Forensic Psychology</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0"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C"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Criminology with Forensic Psychology</w:t>
            </w:r>
          </w:p>
        </w:tc>
      </w:tr>
      <w:tr w14:paraId="17F545E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Crime, Harm and Criminal Justice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CM7026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Criminology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CM7007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Dissertation Research Methods and Professional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CM7020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Investigative and Legal Processes in Forensic Psychology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PS7031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5"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Theorising Crime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CM7027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ind w:left="360"/>
        <w:rPr>
          <w:rFonts w:ascii="Arial" w:eastAsia="Arial" w:hAnsi="Arial" w:cs="Arial"/>
          <w:sz w:val="24"/>
          <w:szCs w:val="24"/>
        </w:rPr>
      </w:pPr>
      <w:r w:rsidRPr="2030048C">
        <w:rPr>
          <w:rFonts w:ascii="Arial" w:eastAsia="Arial" w:hAnsi="Arial" w:cs="Arial"/>
          <w:sz w:val="24"/>
          <w:szCs w:val="24"/>
        </w:rPr>
        <w:t>The teaching and learning strategy has been designed to support a curriculum which provides a comprehensive knowledge and understanding of contemporary criminal justice policy, practice and politics in local, national and global contexts. The core components require students to explore complex issues in an innovative way, with new areas of knowledge being approached from different, sometimes unexpected, standpoints, thus reflecting the demands students may face in future work settings.  In exploring these areas students will have to demonstrate a high degree of independent thought and action, as well as an ability to work with peers in collaborating to enhance knowledge and understanding for mutual benefit. </w:t>
      </w:r>
    </w:p>
    <w:p w:rsidRPr="2030048C" w:rsidP="2030048C">
      <w:pPr>
        <w:rPr>
          <w:rFonts w:ascii="Arial" w:eastAsia="Arial" w:hAnsi="Arial" w:cs="Arial"/>
          <w:sz w:val="24"/>
          <w:szCs w:val="24"/>
        </w:rPr>
      </w:pPr>
      <w:r w:rsidRPr="2030048C">
        <w:rPr>
          <w:rFonts w:ascii="Arial" w:eastAsia="Arial" w:hAnsi="Arial" w:cs="Arial"/>
          <w:sz w:val="24"/>
          <w:szCs w:val="24"/>
        </w:rPr>
        <w:t>Teaching will be delivered and managed by a team of Kingston University academics who have subject relevant practical, professional and research experience. Expert external practitioners will also contribute to the programme where relevant and applicable.</w:t>
      </w:r>
    </w:p>
    <w:p w:rsidRPr="2030048C" w:rsidP="2030048C">
      <w:pPr>
        <w:rPr>
          <w:rFonts w:ascii="Arial" w:eastAsia="Arial" w:hAnsi="Arial" w:cs="Arial"/>
          <w:sz w:val="24"/>
          <w:szCs w:val="24"/>
        </w:rPr>
      </w:pPr>
      <w:r w:rsidRPr="2030048C">
        <w:rPr>
          <w:rFonts w:ascii="Arial" w:eastAsia="Arial" w:hAnsi="Arial" w:cs="Arial"/>
          <w:sz w:val="24"/>
          <w:szCs w:val="24"/>
        </w:rPr>
        <w:t>The teaching and learning strategy encompasses a range of different methods: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interactive workshops – embracing lecture and seminar formats.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small group work.</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case studies.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poster presentations.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peer review.</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presentations.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field-based learning.</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individual 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research preparation.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reflective journals.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reports.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Lectures will provide an overview of the relevant material, mapping out the terrain and identifying key issues and problems. They will draw on a range of academic disciplines and apply a variety of methodologies and perspectives to the consideration of critical issues and problems.  Lectures will frequently be supported by seminars and group work, which will provide students with an opportunity to clarify issues, raise questions and engage in a critical dialogue with lecturers and fellow students.  These teaching formats are normally housed within a two-hour interactive workshop.</w:t>
      </w:r>
    </w:p>
    <w:p w:rsidRPr="2030048C" w:rsidP="2030048C">
      <w:pPr>
        <w:rPr>
          <w:rFonts w:ascii="Arial" w:eastAsia="Arial" w:hAnsi="Arial" w:cs="Arial"/>
          <w:sz w:val="24"/>
          <w:szCs w:val="24"/>
        </w:rPr>
      </w:pPr>
      <w:r w:rsidRPr="2030048C">
        <w:rPr>
          <w:rFonts w:ascii="Arial" w:eastAsia="Arial" w:hAnsi="Arial" w:cs="Arial"/>
          <w:sz w:val="24"/>
          <w:szCs w:val="24"/>
        </w:rPr>
        <w:t>Debates about crime and punishment are frequently polarised and can generate unproductive division, consequently the teaching and learning environment is designed to ensure that students feel free to exchange and discuss ideas throughout the course on the basis of reasoned and evidence-based argument. </w:t>
      </w:r>
    </w:p>
    <w:p w:rsidRPr="2030048C" w:rsidP="2030048C">
      <w:pPr>
        <w:rPr>
          <w:rFonts w:ascii="Arial" w:eastAsia="Arial" w:hAnsi="Arial" w:cs="Arial"/>
          <w:sz w:val="24"/>
          <w:szCs w:val="24"/>
        </w:rPr>
      </w:pPr>
      <w:r w:rsidRPr="2030048C">
        <w:rPr>
          <w:rFonts w:ascii="Arial" w:eastAsia="Arial" w:hAnsi="Arial" w:cs="Arial"/>
          <w:sz w:val="24"/>
          <w:szCs w:val="24"/>
        </w:rPr>
        <w:t>Students are encouraged to engage in field-based learning settings through volunteering.  This helps students to explore the links between theory and practice, but also to acquire a grounded experiential knowledge which makes them attractive to prospective employers.  Field based learning requires considerable responsibility on the part of the student who has to source and then maintain their field position. However, personal tutor support is available where required and students may choose to adapt field-based experience into a dissertation project with the help of academic staff.   </w:t>
      </w:r>
    </w:p>
    <w:p w:rsidRPr="2030048C" w:rsidP="2030048C">
      <w:pPr>
        <w:rPr>
          <w:rFonts w:ascii="Arial" w:eastAsia="Arial" w:hAnsi="Arial" w:cs="Arial"/>
          <w:sz w:val="24"/>
          <w:szCs w:val="24"/>
        </w:rPr>
      </w:pPr>
      <w:r w:rsidRPr="2030048C">
        <w:rPr>
          <w:rFonts w:ascii="Arial" w:eastAsia="Arial" w:hAnsi="Arial" w:cs="Arial"/>
          <w:sz w:val="24"/>
          <w:szCs w:val="24"/>
        </w:rPr>
        <w:t>In addition to field-based learning, field excursions are, where feasible, organised as extracurricular activities. For example, our students have benefited from a prison tour to enhance their penological knowledge and understandings of the prison environment.</w:t>
      </w:r>
    </w:p>
    <w:p w:rsidRPr="2030048C" w:rsidP="2030048C">
      <w:pPr>
        <w:rPr>
          <w:rFonts w:ascii="Arial" w:eastAsia="Arial" w:hAnsi="Arial" w:cs="Arial"/>
          <w:sz w:val="24"/>
          <w:szCs w:val="24"/>
        </w:rPr>
      </w:pPr>
      <w:r w:rsidRPr="2030048C">
        <w:rPr>
          <w:rFonts w:ascii="Arial" w:eastAsia="Arial" w:hAnsi="Arial" w:cs="Arial"/>
          <w:sz w:val="24"/>
          <w:szCs w:val="24"/>
        </w:rPr>
        <w:t>Students are taught advanced independent study skills, so that they will feel confident in the work they produce and the decisions they make while preparing that work.  The dissertation is an opportunity for students to make use of the range of knowledge and skills they have acquired during the previous teaching blocks. They will be in a strong position to identify a topic worthy of research and equipped with the necessary skill and analytical capacity to complete a substantial piece of writing of up to 15,000 words, working independently.   </w:t>
      </w:r>
    </w:p>
    <w:p w:rsidRPr="2030048C" w:rsidP="2030048C">
      <w:pPr>
        <w:rPr>
          <w:rFonts w:ascii="Arial" w:eastAsia="Arial" w:hAnsi="Arial" w:cs="Arial"/>
          <w:sz w:val="24"/>
          <w:szCs w:val="24"/>
        </w:rPr>
      </w:pPr>
      <w:r w:rsidRPr="2030048C">
        <w:rPr>
          <w:rFonts w:ascii="Arial" w:eastAsia="Arial" w:hAnsi="Arial" w:cs="Arial"/>
          <w:sz w:val="24"/>
          <w:szCs w:val="24"/>
        </w:rPr>
        <w:t>The overall assessment regime for the MSc is designed to help students learn and to demonstrate that they have met the learning outcomes of the programme and of each level of study.  A range of assessment strategies is used in the field in order to encourage a range of skills and to accommodate students’ different learning styles. Assessment methods include critical essays; reflective essays; reports, research proposals; case studies, both group and individual oral, and poster presentations and dissertation.</w:t>
      </w:r>
    </w:p>
    <w:p w:rsidRPr="2030048C" w:rsidP="2030048C">
      <w:pPr>
        <w:rPr>
          <w:rFonts w:ascii="Arial" w:eastAsia="Arial" w:hAnsi="Arial" w:cs="Arial"/>
          <w:sz w:val="24"/>
          <w:szCs w:val="24"/>
        </w:rPr>
      </w:pPr>
      <w:r w:rsidRPr="2030048C">
        <w:rPr>
          <w:rFonts w:ascii="Arial" w:eastAsia="Arial" w:hAnsi="Arial" w:cs="Arial"/>
          <w:sz w:val="24"/>
          <w:szCs w:val="24"/>
        </w:rPr>
        <w:t>The different assessment modes reflect and enhance the interdisciplinary inputs to the field programme. All modules provide explicit formative opportunities, including self-evaluation, for practice and constructive ‘feed forward’ designed to help students reach their full potential in summative assessment and care is taken to avoid assessment bunching. The development of academic skills is woven throughout the programme and assessed both formatively and summatively. All post graduate students are set a formative diagnostic assessment within their first few weeks of study so that their individual academic needs can be identified and supported in advance of their summative assessments.</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467"/>
        <w:gridCol w:w="307"/>
        <w:gridCol w:w="809"/>
        <w:gridCol w:w="809"/>
        <w:gridCol w:w="809"/>
        <w:gridCol w:w="809"/>
        <w:gridCol w:w="809"/>
        <w:gridCol w:w="765"/>
        <w:gridCol w:w="809"/>
        <w:gridCol w:w="809"/>
        <w:gridCol w:w="80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9"/>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CM7020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CM7016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CM7025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CM7015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CM7007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PS7031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CM7026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CM7027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CM7019</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Note:  MSc Criminology pathway is suspended for recruitment for 2025/26.</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463C6886-65CE-4F9D-A8C3-B5224A1AA3DA}"/>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