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Analytics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07/08/2025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Analytics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Business Analytics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Business Analytics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PFBAN1BAN20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Analytics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Business Analytics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Business Analytics</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 full-time; 2 years full-time with PG placement</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 full-time; 3 years full-time with PG placement</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learners with a comprehensive understanding of key business analytics concepts, tools, and methodologies, empowering them to make data-driven decisions in a business environment.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learners with critical technical skills such as data visualisation, statistical analysis, and prompt-based coding, preparing them to tackle business problems using innovative analytics solutions.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the development of analytical thinking, consultancy skills, and the ability to interpret and translate complex data into actionable business insights.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learner’s skills in preparation for strategic roles in data-driven decision-making processes across organisations.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learners to excel in a fast-evolving business environment, offering them a competitive advantage in the job market, as well as opportunities for lifelong learning and growth.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core business analytics concepts and their application to solving complex business problems, enabling data-driven decision-making across various business functions.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and interpretation of a wide range of business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knowledge from various business domains and analytical methodologies, applying it to the evaluation of complex business challenges in a dynamic and data-driven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advanced statistical, predictive, and prescriptive analytics techniques to real-world business data, interpreting outcomes and optimising business strategies to enhance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 range of relevant analytical models and their application to the solution of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analysing and interpreting diverse datasets, utilising statistical methods and analytical tools to extract actionable insights that inform strategic business decisions.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contemporary data visualisation tools and methods to communicate insights effectively, ensuring that analytical findings are actionable and align with business objectives.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critical appreciation of the significance of recent technological advances and theoretical developments in business and their strategic implications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research and consultancy skills acquired through individual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ethical, privacy and security implications of data usage and decision-making within business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appropriate analytics frameworks and strategies to address business problems, while critically evaluating ethical considerations and the implications of data-driven decisions in business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using prompt based coding and other analytical tools to design, implement, and test business analytics models, ensuring their practical applicability in addressing organisational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MSc in Business Analytics programme is a full-time course, which follows a structured delivery model designed to provide students with a comprehensive learning experience, fostering cohort identity while enabling opportunities for collaboration and peer learning. The curriculum is carefully structured to ensure a logical progression of knowledge and skills, equipping students with the analytical capabilities required to excel in today’s data-driven business environment.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includes the option to undertake either a dissertation or a consultancy project allowing students to tailor their project to career goals. The dissertation suits those aiming for academic or more research-focused careers, while the consultancy project appeals to those looking for more applied industry experience. This flexibility enhances employability, fosters industry connections, and develops both academic and real-world problem-solving skills.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Additionally, the curriculum is enhanced with online content and micro-badging initiatives to support employability, providing students with recognised certifications for specific skills acquired throughout the course. This structure ensures that graduates are well-prepared to meet the demands of the business analytics field, equipped with practical skills and knowledge to excel in their careers.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Analytics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Analytics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Analytics &amp; Decision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Predictive Analytics and Prompt-Based Coding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Prescriptive Analytics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Visualisation &amp; Data-Driven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Analytics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Analytics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TB2, 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successful completion of BA7777 will be required for the award of the professional placement credits.  If a student does not secure a placement or does not complete the professional placement, they will automatically be transferred to the without placement route.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w:t>
      </w:r>
    </w:p>
    <w:p w:rsidR="3D0EBCB8"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Student Voice Committee (SVC) </w:t>
      </w:r>
    </w:p>
    <w:p w:rsidR="3D0EBCB8" w:rsidRPr="2030048C" w:rsidP="2030048C">
      <w:pPr>
        <w:numPr>
          <w:ilvl w:val="0"/>
          <w:numId w:val="29"/>
        </w:numPr>
        <w:ind w:left="720" w:hanging="360"/>
        <w:jc w:val="left"/>
        <w:rPr>
          <w:rFonts w:ascii="Arial" w:eastAsia="Arial" w:hAnsi="Arial" w:cs="Arial"/>
          <w:sz w:val="24"/>
          <w:szCs w:val="24"/>
          <w:lang w:val="en-GB" w:eastAsia="en-GB"/>
        </w:rPr>
      </w:pPr>
      <w:r w:rsidRPr="2030048C">
        <w:rPr>
          <w:rFonts w:ascii="Arial" w:eastAsia="Arial" w:hAnsi="Arial" w:cs="Arial"/>
          <w:sz w:val="24"/>
          <w:szCs w:val="24"/>
          <w:lang w:val="en-GB" w:eastAsia="en-GB"/>
        </w:rPr>
        <w:t>Faculty Forums and the School Education Committee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Advisory Board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31"/>
        </w:numPr>
        <w:ind w:left="720" w:hanging="360"/>
        <w:jc w:val="left"/>
        <w:rPr>
          <w:rFonts w:ascii="Arial" w:eastAsia="Arial" w:hAnsi="Arial" w:cs="Arial"/>
          <w:sz w:val="24"/>
          <w:szCs w:val="24"/>
        </w:rPr>
      </w:pPr>
      <w:hyperlink r:id="rId12" w:tgtFrame="_blank" w:history="1">
        <w:r w:rsidRPr="2030048C">
          <w:rPr>
            <w:rFonts w:ascii="Arial" w:eastAsia="Arial" w:hAnsi="Arial" w:cs="Arial"/>
            <w:sz w:val="24"/>
            <w:szCs w:val="24"/>
          </w:rPr>
          <w:t>QAA Master's Business &amp; Management Benchmark</w:t>
        </w:r>
      </w:hyperlink>
      <w:r w:rsidRPr="2030048C">
        <w:rPr>
          <w:rFonts w:ascii="Arial" w:eastAsia="Arial" w:hAnsi="Arial" w:cs="Arial"/>
          <w:sz w:val="24"/>
          <w:szCs w:val="24"/>
        </w:rPr>
        <w:t> </w:t>
      </w:r>
    </w:p>
    <w:p w:rsidRPr="2030048C" w:rsidP="2030048C">
      <w:pPr>
        <w:numPr>
          <w:ilvl w:val="0"/>
          <w:numId w:val="32"/>
        </w:numPr>
        <w:ind w:left="720" w:hanging="360"/>
        <w:jc w:val="left"/>
        <w:rPr>
          <w:rFonts w:ascii="Arial" w:eastAsia="Arial" w:hAnsi="Arial" w:cs="Arial"/>
          <w:sz w:val="24"/>
          <w:szCs w:val="24"/>
        </w:rPr>
      </w:pPr>
      <w:hyperlink r:id="rId13" w:anchor=":~:text=The%20SFIA%20framework%20is%20used,need%20to%20become%20ICTTech%20registered." w:tgtFrame="_blank" w:history="1">
        <w:r w:rsidRPr="2030048C">
          <w:rPr>
            <w:rFonts w:ascii="Arial" w:eastAsia="Arial" w:hAnsi="Arial" w:cs="Arial"/>
            <w:sz w:val="24"/>
            <w:szCs w:val="24"/>
          </w:rPr>
          <w:t>SFIA (Skills Framework for the Information Age) Framework</w:t>
        </w:r>
      </w:hyperlink>
      <w:r w:rsidRPr="2030048C">
        <w:rPr>
          <w:rFonts w:ascii="Arial" w:eastAsia="Arial" w:hAnsi="Arial" w:cs="Arial"/>
          <w:sz w:val="24"/>
          <w:szCs w:val="24"/>
        </w:rPr>
        <w:t> </w:t>
      </w:r>
    </w:p>
    <w:p w:rsidRPr="2030048C" w:rsidP="2030048C">
      <w:pPr>
        <w:numPr>
          <w:ilvl w:val="0"/>
          <w:numId w:val="33"/>
        </w:numPr>
        <w:ind w:left="720" w:hanging="360"/>
        <w:jc w:val="left"/>
        <w:rPr>
          <w:rFonts w:ascii="Arial" w:eastAsia="Arial" w:hAnsi="Arial" w:cs="Arial"/>
          <w:sz w:val="24"/>
          <w:szCs w:val="24"/>
        </w:rPr>
      </w:pPr>
      <w:hyperlink r:id="rId14" w:anchor=":~:text=AACSB%20Accreditation%20Overview,thought%20leadership%2C%20and%20societal%20impact." w:tgtFrame="_blank" w:history="1">
        <w:r w:rsidRPr="2030048C">
          <w:rPr>
            <w:rFonts w:ascii="Arial" w:eastAsia="Arial" w:hAnsi="Arial" w:cs="Arial"/>
            <w:sz w:val="24"/>
            <w:szCs w:val="24"/>
          </w:rPr>
          <w:t>AACSB (Association to Advance Collegiate Schools of Business) Standards</w:t>
        </w:r>
      </w:hyperlink>
      <w:r w:rsidRPr="2030048C">
        <w:rPr>
          <w:rFonts w:ascii="Arial" w:eastAsia="Arial" w:hAnsi="Arial" w:cs="Arial"/>
          <w:sz w:val="24"/>
          <w:szCs w:val="24"/>
        </w:rPr>
        <w:t>  </w:t>
      </w:r>
    </w:p>
    <w:p w:rsidRPr="2030048C" w:rsidP="2030048C">
      <w:pPr>
        <w:numPr>
          <w:ilvl w:val="0"/>
          <w:numId w:val="34"/>
        </w:numPr>
        <w:ind w:left="720" w:hanging="360"/>
        <w:jc w:val="left"/>
        <w:rPr>
          <w:rFonts w:ascii="Arial" w:eastAsia="Arial" w:hAnsi="Arial" w:cs="Arial"/>
          <w:sz w:val="24"/>
          <w:szCs w:val="24"/>
        </w:rPr>
      </w:pPr>
      <w:hyperlink r:id="rId15" w:tgtFrame="_blank" w:history="1">
        <w:r w:rsidRPr="2030048C">
          <w:rPr>
            <w:rFonts w:ascii="Arial" w:eastAsia="Arial" w:hAnsi="Arial" w:cs="Arial"/>
            <w:sz w:val="24"/>
            <w:szCs w:val="24"/>
          </w:rPr>
          <w:t>United Nations Sustainable Development Goals (SDGs)</w:t>
        </w:r>
      </w:hyperlink>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81"/>
        <w:gridCol w:w="367"/>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iet.org/membership/become-a-member/miet-membership/skills-framework-for-the-information-age-sfia" TargetMode="External"/><Relationship Id="rId18"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subject-benchmark-statements/subject-benchmark-statement-business-and-management" TargetMode="External"/><Relationship Id="rId17" Type="http://schemas.openxmlformats.org/officeDocument/2006/relationships/numbering" Target="numbering.xml"/><Relationship Id="rId7" Type="http://schemas.openxmlformats.org/officeDocument/2006/relationships/customXml" Target="../customXml/item4.xml"/><Relationship Id="rId16"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hyperlink" Target="https://www.un.org/sustainabledevelopment/sustainable-development-goals/" TargetMode="External"/><Relationship Id="rId10" Type="http://schemas.openxmlformats.org/officeDocument/2006/relationships/footer" Target="footer1.xml"/><Relationship Id="rId14" Type="http://schemas.openxmlformats.org/officeDocument/2006/relationships/hyperlink" Target="https://www.aacsb.edu/educators/accreditation/business-accreditation"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2CB883A-D66E-4B97-A4FB-0A78F0AF0AF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