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MRes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Business and Management</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01/01/2013</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04/06/2025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02/09/2024</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Management</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MRes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Business and Management</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 Dip in Management and Business Studies Research</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 Cert in Management and Business Studies Research</w:t>
            </w: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Business School, Faculty of Business and Social Sciences, 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 year</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AACSB</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360" w:right="0"/>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None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0"/>
        <w:spacing w:before="0" w:after="0"/>
        <w:ind w:left="0" w:right="0"/>
        <w:rPr>
          <w:rStyle w:val="normaltextrun"/>
          <w:rFonts w:ascii="Arial" w:eastAsia="Arial" w:hAnsi="Arial" w:cs="Arial"/>
          <w:i/>
          <w:iCs/>
          <w:color w:val="000000" w:themeColor="text1"/>
          <w:sz w:val="24"/>
          <w:szCs w:val="24"/>
          <w:shd w:val="clear" w:color="auto" w:fill="FFFFFF"/>
        </w:rPr>
      </w:pPr>
    </w:p>
    <w:p w:rsidRPr="2030048C" w:rsidP="2030048C">
      <w:pPr>
        <w:pStyle w:val="p0"/>
        <w:spacing w:before="0" w:after="0"/>
        <w:ind w:left="0" w:right="0"/>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The aims of the MRes in Business and Management are:</w:t>
      </w:r>
    </w:p>
    <w:p w:rsidRPr="2030048C" w:rsidP="2030048C">
      <w:pPr>
        <w:pStyle w:val="li"/>
        <w:numPr>
          <w:ilvl w:val="0"/>
          <w:numId w:val="12"/>
        </w:numPr>
        <w:pBdr>
          <w:left w:val="none" w:sz="0" w:space="7" w:color="auto"/>
        </w:pBdr>
        <w:spacing w:before="0" w:after="0" w:line="276" w:lineRule="auto"/>
        <w:ind w:left="1146" w:right="0" w:hanging="519"/>
        <w:jc w:val="left"/>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To provide systematic training in methods of research in management and business studies to a level suitable as preparation for doctoral research</w:t>
      </w:r>
    </w:p>
    <w:p w:rsidRPr="2030048C" w:rsidP="2030048C">
      <w:pPr>
        <w:pStyle w:val="li"/>
        <w:numPr>
          <w:ilvl w:val="0"/>
          <w:numId w:val="12"/>
        </w:numPr>
        <w:pBdr>
          <w:left w:val="none" w:sz="0" w:space="7" w:color="auto"/>
        </w:pBdr>
        <w:spacing w:before="0" w:after="0" w:line="276" w:lineRule="auto"/>
        <w:ind w:left="1146" w:right="0" w:hanging="519"/>
        <w:jc w:val="left"/>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To develop a systematic and critical understanding of the theoretical foundations of the research topic</w:t>
      </w:r>
    </w:p>
    <w:p w:rsidRPr="2030048C" w:rsidP="2030048C">
      <w:pPr>
        <w:pStyle w:val="li"/>
        <w:numPr>
          <w:ilvl w:val="0"/>
          <w:numId w:val="12"/>
        </w:numPr>
        <w:pBdr>
          <w:left w:val="none" w:sz="0" w:space="7" w:color="auto"/>
        </w:pBdr>
        <w:spacing w:before="0" w:after="0" w:line="276" w:lineRule="auto"/>
        <w:ind w:left="1146" w:right="0" w:hanging="519"/>
        <w:jc w:val="left"/>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To develop advanced critical skills to evaluate academic knowledge from the perspectives of the nature and quality of evidence and argument</w:t>
      </w:r>
    </w:p>
    <w:p w:rsidRPr="2030048C" w:rsidP="2030048C">
      <w:pPr>
        <w:pStyle w:val="li"/>
        <w:numPr>
          <w:ilvl w:val="0"/>
          <w:numId w:val="12"/>
        </w:numPr>
        <w:pBdr>
          <w:left w:val="none" w:sz="0" w:space="7" w:color="auto"/>
        </w:pBdr>
        <w:spacing w:before="0" w:after="0" w:line="276" w:lineRule="auto"/>
        <w:ind w:left="1146" w:right="0" w:hanging="519"/>
        <w:jc w:val="left"/>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To develop skills to critically evaluate, plan, and implement programmes of research</w:t>
      </w:r>
    </w:p>
    <w:p w:rsidRPr="2030048C" w:rsidP="2030048C">
      <w:pPr>
        <w:pStyle w:val="li"/>
        <w:numPr>
          <w:ilvl w:val="0"/>
          <w:numId w:val="12"/>
        </w:numPr>
        <w:pBdr>
          <w:left w:val="none" w:sz="0" w:space="7" w:color="auto"/>
        </w:pBdr>
        <w:spacing w:before="0" w:after="200" w:line="276" w:lineRule="auto"/>
        <w:ind w:left="1146" w:right="0" w:hanging="519"/>
        <w:jc w:val="left"/>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To develop skills of data collection and analysis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appreciation of, and the ability to manage, the ethical issues inherent in research</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Produce and justify a coherent and practicable plan for a doctoral level research project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Conduct analysis of data using appropriate methods and present the results of the analysis to others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Use a variety of techniques of data collection and analysis for both quantifiable and non-quantifiable forms of data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Organise and synthesise complex information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Identify appropriate research methods for a chosen research topic</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of issues concerning knowledge acquisition and dissemination in management and business studies, including the ability to evaluate existing research critically and to design and implement their own programme of research</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Think in a critically reflective and creative manner</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Critique research literature in a chosen field</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in-depth understanding of different ontological and epistemological perspectives in management and business research, and the value of different perspectives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and solve complex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Follow good practice in implementing methods of data collection and analysis.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A student must complete 180 credits for a Masters degree. The programme consists of five compulsory modules at 30 credit points. The remaining 30 credits results from the completion of one of two optional modules (covering qualitative or quantitative research/analysis). Students must take one of the optional modules, but the modules are timetabled so as to allow students the choice to take both.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All students will be provided with the University regulations. Full details of each module is provided in the module descriptors and student module handbooks.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MRes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Business and Management</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MRes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Business and Management</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DOCTORAL RESEARCH DESIGN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BQ7807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 and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FOUNDATIONS OF DATA ANALYSIS AND REPORTING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BQ7803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LITERATURE REVIEW</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BQ7809</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 and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PHILOSOPHY AND TRADITIONS OF MANAGEMENT RESEARCH</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BQ7801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RESEARCH DESIGN AND DATA COLLECTION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BQ7802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ADVANCED QUALITATIVE RESEARCH</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BQ7804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p>
        </w:tc>
      </w:tr>
      <w:tr w14:paraId="21361EA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ADVANCED QUANTITATIVE DATA ANALYSIS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BQ7805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(Where appropriate – specify if there are any core modules that students must achieve for either of the exit awards)</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Please note pre-requisite requirements for master’s courses should only be set where there are defined progression points in the course where assessment boards have ratified module outcomes.</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pStyle w:val="p"/>
        <w:spacing w:before="0" w:after="120"/>
        <w:ind w:left="360" w:right="0"/>
        <w:rPr>
          <w:rFonts w:ascii="Times New Roman" w:eastAsia="Times New Roman" w:hAnsi="Times New Roman" w:cs="Times New Roman"/>
          <w:sz w:val="22"/>
          <w:szCs w:val="22"/>
        </w:rPr>
      </w:pPr>
      <w:r w:rsidRPr="2030048C">
        <w:rPr>
          <w:rFonts w:ascii="Arial" w:eastAsia="Arial" w:hAnsi="Arial" w:cs="Arial"/>
          <w:sz w:val="22"/>
          <w:szCs w:val="22"/>
        </w:rPr>
        <w:t>The range of teaching strategies will include lectures, workshops, seminars, and individual personal supervision. The teaching methods employed will reflect that the students on this programme will typically be Masters g</w:t>
      </w:r>
      <w:r w:rsidRPr="2030048C">
        <w:rPr>
          <w:rFonts w:ascii="Arial" w:eastAsia="Arial" w:hAnsi="Arial" w:cs="Arial"/>
          <w:sz w:val="22"/>
          <w:szCs w:val="22"/>
        </w:rPr>
        <w:t xml:space="preserve">raduates pursuing a doctorate. </w:t>
      </w:r>
      <w:r w:rsidRPr="2030048C">
        <w:rPr>
          <w:rFonts w:ascii="Arial" w:eastAsia="Arial" w:hAnsi="Arial" w:cs="Arial"/>
          <w:sz w:val="22"/>
          <w:szCs w:val="22"/>
        </w:rPr>
        <w:t>Consequently, the role of the tutor will be more of a facilitator of learning than aut</w:t>
      </w:r>
      <w:r w:rsidRPr="2030048C">
        <w:rPr>
          <w:rFonts w:ascii="Arial" w:eastAsia="Arial" w:hAnsi="Arial" w:cs="Arial"/>
          <w:sz w:val="22"/>
          <w:szCs w:val="22"/>
        </w:rPr>
        <w:t>horitative expert and arbiter.</w:t>
      </w:r>
    </w:p>
    <w:p w:rsidRPr="2030048C" w:rsidP="2030048C">
      <w:pPr>
        <w:pStyle w:val="p"/>
        <w:spacing w:before="0" w:after="120"/>
        <w:ind w:left="360" w:right="0"/>
        <w:rPr>
          <w:rFonts w:ascii="Times New Roman" w:eastAsia="Times New Roman" w:hAnsi="Times New Roman" w:cs="Times New Roman"/>
          <w:sz w:val="22"/>
          <w:szCs w:val="22"/>
        </w:rPr>
      </w:pPr>
      <w:r w:rsidRPr="2030048C">
        <w:rPr>
          <w:rFonts w:ascii="Arial" w:eastAsia="Arial" w:hAnsi="Arial" w:cs="Arial"/>
          <w:sz w:val="22"/>
          <w:szCs w:val="22"/>
        </w:rPr>
        <w:t>Students will be assessed by individual assignment and they will be encouraged to consult with their supervisors regarding the assignments prior to submission. This will afford practice in applying the skills and methods of research covered in each module and developing written arguments</w:t>
      </w:r>
      <w:r w:rsidRPr="2030048C">
        <w:rPr>
          <w:rFonts w:ascii="Arial" w:eastAsia="Arial" w:hAnsi="Arial" w:cs="Arial"/>
          <w:sz w:val="22"/>
          <w:szCs w:val="22"/>
        </w:rPr>
        <w:t>,</w:t>
      </w:r>
      <w:r w:rsidRPr="2030048C">
        <w:rPr>
          <w:rFonts w:ascii="Arial" w:eastAsia="Arial" w:hAnsi="Arial" w:cs="Arial"/>
          <w:sz w:val="22"/>
          <w:szCs w:val="22"/>
        </w:rPr>
        <w:t xml:space="preserve"> but also help </w:t>
      </w:r>
      <w:r w:rsidRPr="2030048C">
        <w:rPr>
          <w:rFonts w:ascii="Arial" w:eastAsia="Arial" w:hAnsi="Arial" w:cs="Arial"/>
          <w:sz w:val="22"/>
          <w:szCs w:val="22"/>
        </w:rPr>
        <w:t xml:space="preserve">to </w:t>
      </w:r>
      <w:r w:rsidRPr="2030048C">
        <w:rPr>
          <w:rFonts w:ascii="Arial" w:eastAsia="Arial" w:hAnsi="Arial" w:cs="Arial"/>
          <w:sz w:val="22"/>
          <w:szCs w:val="22"/>
        </w:rPr>
        <w:t xml:space="preserve">develop the working relationship between student and </w:t>
      </w:r>
      <w:r w:rsidRPr="2030048C">
        <w:rPr>
          <w:rFonts w:ascii="Arial" w:eastAsia="Arial" w:hAnsi="Arial" w:cs="Arial"/>
          <w:sz w:val="22"/>
          <w:szCs w:val="22"/>
        </w:rPr>
        <w:t>supervisors. In other words, through the methods of assessment and teaching employed, the MRes is intended to provide a foundation of knowledge for subsequent doctoral research and a foundation in working as a doctoral student (i.e. independently, but with the support of a supervisory team).</w:t>
      </w:r>
    </w:p>
    <w:p w:rsidRPr="2030048C" w:rsidP="2030048C">
      <w:pPr>
        <w:pStyle w:val="p"/>
        <w:spacing w:before="0" w:after="120"/>
        <w:ind w:left="360" w:right="0"/>
        <w:rPr>
          <w:rFonts w:ascii="Times New Roman" w:eastAsia="Times New Roman" w:hAnsi="Times New Roman" w:cs="Times New Roman"/>
          <w:sz w:val="22"/>
          <w:szCs w:val="22"/>
        </w:rPr>
      </w:pPr>
      <w:r w:rsidRPr="2030048C">
        <w:rPr>
          <w:rFonts w:ascii="Arial" w:eastAsia="Arial" w:hAnsi="Arial" w:cs="Arial"/>
          <w:sz w:val="22"/>
          <w:szCs w:val="22"/>
        </w:rPr>
        <w:t xml:space="preserve">The learning and teaching activities described above are supported by the use of </w:t>
      </w:r>
      <w:r w:rsidRPr="2030048C">
        <w:rPr>
          <w:rFonts w:ascii="Arial" w:eastAsia="Arial" w:hAnsi="Arial" w:cs="Arial"/>
          <w:sz w:val="22"/>
          <w:szCs w:val="22"/>
        </w:rPr>
        <w:t>Canvas</w:t>
      </w:r>
      <w:r w:rsidRPr="2030048C">
        <w:rPr>
          <w:rFonts w:ascii="Arial" w:eastAsia="Arial" w:hAnsi="Arial" w:cs="Arial"/>
          <w:sz w:val="22"/>
          <w:szCs w:val="22"/>
        </w:rPr>
        <w:t xml:space="preserve"> (</w:t>
      </w:r>
      <w:r w:rsidRPr="2030048C">
        <w:rPr>
          <w:rFonts w:ascii="Arial" w:eastAsia="Arial" w:hAnsi="Arial" w:cs="Arial"/>
          <w:sz w:val="22"/>
          <w:szCs w:val="22"/>
        </w:rPr>
        <w:t xml:space="preserve">a </w:t>
      </w:r>
      <w:r w:rsidRPr="2030048C">
        <w:rPr>
          <w:rFonts w:ascii="Arial" w:eastAsia="Arial" w:hAnsi="Arial" w:cs="Arial"/>
          <w:sz w:val="22"/>
          <w:szCs w:val="22"/>
        </w:rPr>
        <w:t>virtual learning environment) that provides access to support materials for each contact session and additional resources (such as readings, examples, data sets and links to external sources of information) to support independent learning</w:t>
      </w:r>
      <w:r w:rsidRPr="2030048C">
        <w:rPr>
          <w:rFonts w:ascii="Arial" w:eastAsia="Arial" w:hAnsi="Arial" w:cs="Arial"/>
          <w:sz w:val="22"/>
          <w:szCs w:val="22"/>
        </w:rPr>
        <w:t xml:space="preserve">. </w:t>
      </w:r>
      <w:r w:rsidRPr="2030048C">
        <w:rPr>
          <w:rFonts w:ascii="Arial" w:eastAsia="Arial" w:hAnsi="Arial" w:cs="Arial"/>
          <w:sz w:val="22"/>
          <w:szCs w:val="22"/>
        </w:rPr>
        <w:t>As an integrated part of the programme, students are introduced to software for data analysis, but also to technologies that support research activity, including databases for literature searching and reference management software.</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4"/>
        <w:gridCol w:w="367"/>
        <w:gridCol w:w="955"/>
        <w:gridCol w:w="955"/>
        <w:gridCol w:w="955"/>
        <w:gridCol w:w="955"/>
        <w:gridCol w:w="95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BQ7802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BQ7803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BQ7807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BQ7809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BQ7801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ListParagraph0">
    <w:name w:val="ListParagraph"/>
    <w:basedOn w:val="ListParagraph"/>
    <w:rPr>
      <w:rFonts w:ascii="Arial" w:eastAsia="Arial" w:hAnsi="Arial" w:cs="Arial"/>
      <w:sz w:val="22"/>
      <w:szCs w:val="22"/>
    </w:rPr>
  </w:style>
  <w:style w:type="paragraph" w:customStyle="1" w:styleId="p0">
    <w:name w:val="p_0"/>
    <w:basedOn w:val="ListParagraph"/>
  </w:style>
  <w:style w:type="paragraph" w:customStyle="1" w:styleId="li">
    <w:name w:val="li"/>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6B951668-2BD7-46D6-9FF2-47B71A3F22C3}"/>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