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 and Criminal Justice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Law and Criminal Justice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Law and Criminal Justice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UFLCJ1LCJ20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Law and Criminal Justice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Law and Criminal Justice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USLCJ1LCJ45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Law and Criminal Justice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Law and Criminal Justice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UFLCJ1LCJ55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Students may take up to four 15-credit modules at level 5 and 6 rather than the regulatory maximum of two 15-credit modules per level. This allows for the development of new modules reflecting staff specialisms and allows students greater choice across the curriculum and the ability to develop interests in a wider range of areas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(Hons) Law and Criminal Justice programme provides a combination of the foundations of legal knowledge with specialism in the field of criminal justice. It is a comprehensive course designed for students interested in pursuing a career in the legal profession (by providing an opportunity to meet the requirements of the professional bodies for the academic stage of legal education as well as in the Criminal Justice System (e.g., the police, prison or probation services) or associated areas (such as advocacy, youth work, private security or criminal justice policy-making).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allows students to develop transferable employability skills, through the three tiers of the Future Skills Programme of Kingston University.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All students also have the option of studying abroad or working for a year between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communicate a comprehensive knowledge of the institutions, processes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to construct clear logical and critically informed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Use ICT to present text/numerical information and images.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able to make appropriate use of electronic communication.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Produce a document that incorporates and combines different types of information.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Search for, retrieve and store information using ICT resources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Use on-line communications systems, including the learning management system, to obtain and send information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and appreciate the social and other pressures that shape the development of the law, including societal problems associated with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contextualize, and critically evaluate problems, laws,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Project management and problem solving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Collect information from primary and secondary sources selectively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Read, select, extract, and collate information from written, spoken, or other appropriate sources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Employ ethical sensitivity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Evaluate and present information in suitable formats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able to appreciate issues of selection, accuracy and uncertainty in the collection and analysis of information.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law, crime, victimisation, and responses to crime through the criminal justice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Deconstruct, explain, and critically evaluate theoretical concepts, ideas, and arguments.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Acquire intellectual and practical skills needed to research on specific matters and to analyse both statute and case law and apply it to the solution of legal problems and criminal justice topics.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the capacity for abstract manipulation of complex ideas and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 &amp; Interpersonal Skills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Work effectively with others to achieve a goal</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an effective and communicative member of a team</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Work as part of a team</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Review and evaluate progress of groups and collective performance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Identify ways of improving the performance of groups and their own contribution to groups.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aragrap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specification of the Foundation Year in Social Science is available separately within the CMS.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LL4305 English Legal System, Skills &amp; Ethics.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LL5310 Exploring EU Law.</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Criminal Justice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Law and Criminal Justice.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and Criminal Justice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Law and Criminal Justice.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Criminal Justice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Youth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Risk, Crime and Control in the Digital 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CM6026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take 90 credits through core modules and chose 30 credits from optional modules.</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and at least 60 credits at level 6 are eligible for the award of Ordinary degree in Law and Criminal Justice. Students exiting with 120 credits at level 6 will be eligible for the award of LLB (Hons) Law and Criminal Justice.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specifications for the field have been designed with reference to The Solicitors Regulatory Authority and Bar Standards Board requirements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LLB programme offers the opportunity of a year-long placement or study abroad between Levels 5 and 6.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and Criminal Justice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Bar Standards Board (BSB) accreditation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13"/>
        <w:gridCol w:w="254"/>
        <w:gridCol w:w="614"/>
        <w:gridCol w:w="614"/>
        <w:gridCol w:w="614"/>
        <w:gridCol w:w="614"/>
        <w:gridCol w:w="651"/>
        <w:gridCol w:w="614"/>
        <w:gridCol w:w="614"/>
        <w:gridCol w:w="614"/>
        <w:gridCol w:w="669"/>
        <w:gridCol w:w="669"/>
        <w:gridCol w:w="642"/>
        <w:gridCol w:w="61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ediumGrid1-Accent21">
    <w:name w:val="MediumGrid1-Accent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5F6EEA5-5331-43F5-B62E-87A62AFB1C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