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Law and Criminal Justice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Criminal Justice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Law and Criminal Justice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Law and Criminal Justice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Law and Criminal Justice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UFLCJ1LCJ20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Criminal Justice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Law and Criminal Justice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Law and Criminal Justice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Law and Criminal Justice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USLCJ1LCJ45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Law and Criminal Justice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Law and Criminal Justice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Law and Criminal Justice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Law and Criminal Justice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UFLCJ1LCJ55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Students may take up to four 15-credit modules at level 5 and 6 rather than the regulatory maximum of two 15-credit modules per level. This allows for the development of new modules reflecting staff specialisms and allows students greater choice across the curriculum and the ability to develop interests in a wider range of areas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(Hons) Law and Criminal Justice programme provides a combination of the foundations of legal knowledge with specialism in the field of criminal justice. It is a comprehensive course designed for students interested in pursuing a career in the legal profession (by providing an opportunity to meet the requirements of the professional bodies for the academic stage of legal education as well as in the Criminal Justice System (e.g., the police, prison or probation services) or associated areas (such as advocacy, youth work, private security or criminal justice policy-making).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programme allows students to develop transferable employability skills, through the three tiers of the Future Skills Programme of Kingston University.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All students also have the option of studying abroad or working for a year between Levels 5 and 6.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 communicate a comprehensive knowledge of the institutions, processes and legal foundations of the Criminal Justice System in England and Wales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information, data, and evidence to construct clear logical and critically informed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Information, Communication and Technology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Use ICT to present text/numerical information and images.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able to make appropriate use of electronic communication.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Produce a document that incorporates and combines different types of information.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Search for, retrieve and store information using ICT resources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Use on-line communications systems, including the learning management system, to obtain and send information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and appreciate the social and other pressures that shape the development of the law, including societal problems associated with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contextualize, and critically evaluate problems, laws, and policies.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Project management and problem solving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Collect information from primary and secondary sources selectively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Read, select, extract, and collate information from written, spoken, or other appropriate sources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Employ ethical sensitivity</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Evaluate and present information in suitable formats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able to appreciate issues of selection, accuracy and uncertainty in the collection and analysis of information.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key concepts and theoretical approaches which have been developed in relation to law, crime, victimisation, and responses to crime through the criminal justice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explain, and critically evaluate theoretical concepts, ideas, and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Deconstruct, explain, and critically evaluate theoretical concepts, ideas, and arguments.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Acquire intellectual and practical skills needed to research on specific matters and to analyse both statute and case law and apply it to the solution of legal problems and criminal justice topics.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questions, Undertake systematic management of empirical data and complex factual information and develop the capacity for abstract manipulation of complex ideas and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Teamwork &amp; Interpersonal Skills</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Work effectively with others to achieve a goal</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Be an effective and communicative member of a team</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Work as part of a team</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Review and evaluate progress of groups and collective performance</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w:t>
              <w:tab/>
              <w:t>Identify ways of improving the performance of groups and their own contribution to groups.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aragrap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specification of the Foundation Year in Social Science is available separately within the CMS.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LL4305 English Legal System, Skills &amp; Ethics.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LL5310 Exploring EU Law.</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Criminal Justice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 and Criminal Justice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Law and Criminal Justice.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 and Criminal Justice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and Punishment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Law and Criminal Justice.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Law and Criminal Justice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Youth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Global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CM6025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Risk, Crime and Control in the Digital Age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CM6026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take 90 credits through core modules and chose 30 credits from optional modules.</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and at least 60 credits at level 6 are eligible for the award of Ordinary degree in Law and Criminal Justice. Students exiting with 120 credits at level 6 will be eligible for the award of LLB (Hons) Law and Criminal Justice.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specifications for the field have been designed with reference to The Solicitors Regulatory Authority and Bar Standards Board requirements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LLB programme offers the opportunity of a year-long placement or study abroad between Levels 5 and 6.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Criminal Justice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Law and Criminal Justice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w:t>
      </w:r>
      <w:r w:rsidRPr="2030048C">
        <w:rPr>
          <w:rStyle w:val="normaltextrun"/>
          <w:rFonts w:ascii="Arial" w:eastAsia="Arial" w:hAnsi="Arial" w:cs="Arial"/>
          <w:color w:val="000000" w:themeColor="text1" w:themeShade="FF" w:themeTint="FF"/>
          <w:sz w:val="24"/>
          <w:szCs w:val="24"/>
        </w:rPr>
        <w:t>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Law and Criminal Justice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Bar Standards Board (BSB) accreditation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13"/>
        <w:gridCol w:w="254"/>
        <w:gridCol w:w="614"/>
        <w:gridCol w:w="614"/>
        <w:gridCol w:w="614"/>
        <w:gridCol w:w="614"/>
        <w:gridCol w:w="651"/>
        <w:gridCol w:w="614"/>
        <w:gridCol w:w="614"/>
        <w:gridCol w:w="614"/>
        <w:gridCol w:w="669"/>
        <w:gridCol w:w="669"/>
        <w:gridCol w:w="642"/>
        <w:gridCol w:w="61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ediumGrid1-Accent21">
    <w:name w:val="MediumGrid1-Accent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5F6EEA5-5331-43F5-B62E-87A62AFB1C0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