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Law</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International Law</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3 years full-time (code M100), 4 years sandwich (with year in industry) (code M102); 4 years full-time (with year abroad) (code M103)</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Foundation Year in Social Sciences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 with Foundation Year in Social Sciences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International Law with Foundation Year in Social Sciences</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 with Foundation Year in Social Sciences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(Hons) International Law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(Hons) International Law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International Law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UFLLI1LLI94</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Kingston Hill /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Solicitors’ Regulatory Authority and Bar Standards Board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International Law has been designed for those who may wish to pursue a career in the legal profession by providing an opportunity to meet the requirement of professional bodies for the academic stage of legal education. This is achieved by the incorporation of the Foundations of Legal Knowledge as core modules on the Course. The Course allows students to specialise in international law.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International Law allows students to develop transferable employability skills, which means it is also appropriate for those who may wish to pursue careers not only in the legal sector but also in other professions, thus providing a wide range of career opportunities. Students take part in the three tiers of the Future Skills Programme of Kingston University.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 students also have the option of studying abroad or working for a year between Levels 5 and 6.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demonstrate a knowledge of the institutions within which that law is administered and the personnel who practise that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TeamworkBe an effective and communicative member of a teamWork as part of a teamReview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an appreciation of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Communication SkillsContribute effectively to group discussionMake an oral presentation and be able participate in mooting scenariosRead, select, extract and collate information from written, spoken or other appropriate sourcesProduce written materials in a variety of formats using the English language at all times with scrupulous care and accuracyIncorporate in documents either tables, charts, graphs or diagramsBe able to make appropriate use of electronic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 and to communicate - both in writing and orally - the results of such work. Students on the American programme will have demonstrated an ability to succeed in a year of academic study in the United States of America. Students on the 4 Year Study Abroad Programme variant will have demonstrated an ability to succeed in a year of academic study in one of the countries in which the university 4 Year Programme operates.Students on the Work Placement variant will have demonstrated their ability to operate effectively in a working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intelligent critical reading of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NumeracyCollect data from primary and secondary sources selectivelyEvaluate and present data in suitable formatsRecord data in an appropriate formatBe able to appreciate  issues of selection, accuracy and uncertainty in the collection and analysis of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Information, Communication and TechnologyUse ICT to present text/numerical data and imagesProduce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sometimes required for accreditation by outside bodies (e.g. professional or statutory bodies that confer professional accreditation).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Social Sciences </w:t>
      </w:r>
      <w:r w:rsidRPr="2030048C">
        <w:rPr>
          <w:rFonts w:ascii="Arial" w:eastAsia="Arial" w:hAnsi="Arial" w:cs="Arial"/>
          <w:color w:val="000000" w:themeColor="text1" w:themeShade="FF" w:themeTint="FF"/>
          <w:sz w:val="24"/>
          <w:szCs w:val="24"/>
        </w:rPr>
        <w:t xml:space="preserve">Programme Specification for details of the level 3/first year modules.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LL4305 English Legal System, Skills &amp; Ethics.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LL5310 Exploring EU Law.</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Economic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Level 6 requires students to have successfully passed 120 Level 6 credits (to include a 30 credit Capstone module and 60 credits of Optional modules). Capstone modules are intended to allow students to synthesise and apply what they have learned on the Course. The modules are designed to help students reflect on the knowledge and skills they have acquired during their degree and learning how to present them to a wider audience, including future employers.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pass 120 credits of their taught modules (excluding the Professional Experience elements) at each of Levels 4 and 5</w:t>
      </w:r>
      <w:r w:rsidRPr="2030048C">
        <w:rPr>
          <w:rStyle w:val="normaltextrun"/>
          <w:rFonts w:ascii="Arial" w:eastAsia="Arial" w:hAnsi="Arial" w:cs="Arial"/>
          <w:color w:val="FF0000"/>
          <w:sz w:val="22"/>
          <w:szCs w:val="22"/>
        </w:rPr>
        <w:t xml:space="preserve">, </w:t>
      </w:r>
      <w:r w:rsidRPr="2030048C">
        <w:rPr>
          <w:rStyle w:val="normaltextrun"/>
          <w:rFonts w:ascii="Arial" w:eastAsia="Arial" w:hAnsi="Arial" w:cs="Arial"/>
          <w:color w:val="000000" w:themeColor="text1" w:themeShade="FF" w:themeTint="FF"/>
          <w:sz w:val="22"/>
          <w:szCs w:val="22"/>
        </w:rPr>
        <w:t>and at least 60 credits at Level 6 may be awarded a Pass (Ordinary/Non-Honours) degree. Students who do not pass the Professional Experience elements but achieve 360 credits in all of their taught modules will be eligible for an LLB (Hons).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Foundation Year in Social Sciences</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Professional Placement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9"/>
        <w:gridCol w:w="226"/>
        <w:gridCol w:w="546"/>
        <w:gridCol w:w="546"/>
        <w:gridCol w:w="546"/>
        <w:gridCol w:w="546"/>
        <w:gridCol w:w="1"/>
        <w:gridCol w:w="545"/>
        <w:gridCol w:w="546"/>
        <w:gridCol w:w="546"/>
        <w:gridCol w:w="546"/>
        <w:gridCol w:w="579"/>
        <w:gridCol w:w="2"/>
        <w:gridCol w:w="569"/>
        <w:gridCol w:w="546"/>
        <w:gridCol w:w="546"/>
        <w:gridCol w:w="546"/>
        <w:gridCol w:w="54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A26AB41-1ADE-4C57-84FC-0C37AF7AA11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