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LLB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International Law</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01/01/2013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06/03/2026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15</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Law, Social and Behavioural Sciences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Law</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LLB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International Law</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International Law</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Ordinary degree International Law</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International Law</w:t>
            </w:r>
            <w:r>
              <w:br/>
            </w:r>
            <w:r w:rsidRPr="2030048C" w:rsidR="71C545CA">
              <w:rPr>
                <w:rFonts w:ascii="Arial" w:eastAsia="Arial" w:hAnsi="Arial" w:cs="Arial"/>
                <w:b w:val="0"/>
                <w:bCs w:val="0"/>
                <w:sz w:val="24"/>
                <w:szCs w:val="24"/>
                <w:lang w:val="en-GB"/>
              </w:rPr>
              <w:t>BA (Hons) International Law</w:t>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UFLLI1LLI20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3 years full-time (code M100), 4 years sandwich (with year in industry) (code M102); 4 years full-time (with year abroad) (code M103)</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LLB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International Law with Foundation Year in Social Sciences</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International Law with Foundation Year in Social Sciences</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Ordinary degree International Law with Foundation Year in Social Sciences</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International Law with Foundation Year in Social Sciences</w:t>
            </w:r>
            <w:r>
              <w:br/>
            </w:r>
            <w:r w:rsidRPr="2030048C" w:rsidR="71C545CA">
              <w:rPr>
                <w:rFonts w:ascii="Arial" w:eastAsia="Arial" w:hAnsi="Arial" w:cs="Arial"/>
                <w:b w:val="0"/>
                <w:bCs w:val="0"/>
                <w:sz w:val="24"/>
                <w:szCs w:val="24"/>
                <w:lang w:val="en-GB"/>
              </w:rPr>
              <w:t>BA (Hons) International Law with Foundation Year in Social Sciences</w:t>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School of Law, Social and Behavioural Sciences, Kingston Hill / 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Category 1: Primarily in person (0-20%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The Solicitors’ Regulatory Authority and Bar Standards Board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tbl>
            <w:tblPr>
              <w:tblStyle w:val="Table"/>
              <w:tblCellSpacing w:w="15" w:type="dxa"/>
              <w:tblCellMar>
                <w:top w:w="15" w:type="dxa"/>
                <w:left w:w="15" w:type="dxa"/>
                <w:bottom w:w="15" w:type="dxa"/>
                <w:right w:w="15" w:type="dxa"/>
              </w:tblCellMar>
              <w:tblLook w:val="05E0"/>
            </w:tblPr>
            <w:tblGrid>
              <w:gridCol w:w="5674"/>
            </w:tblGrid>
            <w:tr>
              <w:tblPrEx>
                <w:tblLook w:val="05E0"/>
              </w:tblPrEx>
              <w:tc>
                <w:tcPr>
                  <w:noWrap w:val="0"/>
                  <w:tcMar>
                    <w:top w:w="15" w:type="dxa"/>
                    <w:left w:w="15" w:type="dxa"/>
                    <w:bottom w:w="15" w:type="dxa"/>
                    <w:right w:w="15" w:type="dxa"/>
                  </w:tcMar>
                  <w:vAlign w:val="center"/>
                  <w:hideMark/>
                </w:tcPr>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rPr>
                    <w:t>Law, Qualifying Law Degrees (QLD):</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rPr>
                    <w:t>The Solicitors Regulation Authority and the Bar Standards Board provide that the maximum number of attempts permitted for each of the Foundations of Legal Knowledge within a Qualifying Law Degree (QLD) is normally 3. Therefore, contrary to the Undergraduate Regulations, the maximum number of attempts in the Core modules is 3 for any student wishing to have their LLB recognised as a QLD.</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rPr>
                    <w:t>Law, Qualifying Law Degrees (QLD):</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rPr>
                    <w:t>The Solicitors Regulation Authority and the Bar Standards Board provide that no LLB student may be compensated for more than one of the Foundations of Legal Knowledge over the degree as a whole for a QLD. Therefore, contrary to the Undergraduate Regulations, compensation will only be permitted exceptionally in relation to any Core module of the degree.</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tc>
            </w:tr>
          </w:tbl>
          <w:p w:rsidR="792E11A3" w:rsidP="158602C4" w14:paraId="155FC85F"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MediumGrid1-Accent21"/>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The LLB International Law has the following general aims: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provide a legal education which meets the requirements of the professional bodies for recognition as a Qualifying Law Degree</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enable students to develop the general transferable employability skills which graduates should be able to apply to any situation.</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provide students with an introduction to the global legal arena, and to allow students to compare law in different jurisdictions.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enable students to understand the implications of areas of law that have application across the world.</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provide the opportunity for a period of study abroad overseas.</w:t>
      </w:r>
    </w:p>
    <w:p w:rsidRPr="2030048C" w:rsidP="2030048C">
      <w:pPr>
        <w:pStyle w:val="MediumGrid1-Accent21"/>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The LLB has been designed for those who may wish to pursue a career in the legal profession by providing an opportunity to meet the requirement of the professional bodies for the academic stage of legal education.  This is achieved by the incorporation of the Foundations of Legal Knowledge as the following compulsory Core modules on the Course: English Legal System, Law of Contract, Law of Tort, Public Law, Criminal Law, Law of the European Union, Land Law, and Equity and Trusts. Successful completion of these modules entitles the student to a Qualifying Law Degree (QLD).  In order to develop legal proficiency, we offer a wide range of legal specialisms in the final (Level 6) year.  These include Employment Law, International Trade Law, Company Law, Intellectual Property Law, International Criminal and Human Rights Law, Family and Child Law, Dispute Resolution, Environmental Law, and Law of Technology and Innovation.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The Course also allows students to specialise in international law. At Level 5, in addition to the compulsory Core modules required for a QLD, students on the Course study International and Comparative Law as a grounding for the development of international specialisms at Level 6. These include International Criminal and Human Rights Law, Law of International Trade, Intellectual Property Law, Family and Child Law, Dispute Resolution, Environmental Law, and Employment Law. In addition, students in their final year (Level 6) of the Course undertake a dissertation, engaging in research in an area of international law.</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Students on the Course also develop transferable employability skills, which means the Course is also appropriate for those who may wish to pursue careers not only the legal sector but also in other professions, thus providing a wide range of career opportunities.</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The Course operates across three teaching blocks (Teaching Block1 October - December; Teaching Block 2 January -March; Teaching Block 3 May-July).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Teaching Block 1 (TB1) and Teaching Block 2 (TB2) focus on learning, delivery and engagement with the legal knowledge and its application required for a QLD. TB1 and TB2 for each level are made up of four modules each worth 30 credit points. Typically, a student must complete 120 credits at each level (during the first two teaching blocks).  All students are provided with the University regulations, as well as any specific additions that may be required for accreditation by outside bodies (e.g., professional, or statutory bodies that confer professional accreditation). Full details of each module are provided in module descriptors and student module guides.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TB3 focuses purely on the enhancement of the student’s employability skills, and students can do a work placement/internship.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Two defining features of the Course are: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Professional Readiness embedded in Levels 4 and 5</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Professional Experience activities in TB3 for Levels 4 and 5.</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A non-credit bearing Professional Readiness module designed to enhance students’ work-related skills is delivered across 24 weeks in TB1 and TB2 at Levels 4 and 5. </w:t>
      </w:r>
      <w:r w:rsidRPr="2030048C">
        <w:rPr>
          <w:rStyle w:val="normaltextrun"/>
          <w:rFonts w:ascii="Arial" w:hAnsi="Arial" w:cs="Arial"/>
          <w:color w:val="000000" w:themeColor="text1"/>
          <w:sz w:val="22"/>
          <w:szCs w:val="22"/>
          <w:shd w:val="clear" w:color="auto" w:fill="FFFFFF"/>
        </w:rPr>
        <w:t>The module at both levels incorporates Future Skills: through engagement with Navigate at Level 4, and through engagement with Explore at Level 5. The module introduces professional practice and ethics as well as relevant skills delivery and professional development, and</w:t>
      </w:r>
      <w:r w:rsidRPr="2030048C">
        <w:rPr>
          <w:rStyle w:val="normaltextrun"/>
          <w:rFonts w:ascii="Arial" w:hAnsi="Arial" w:cs="Arial"/>
          <w:color w:val="000000" w:themeColor="text1"/>
          <w:sz w:val="22"/>
          <w:szCs w:val="22"/>
          <w:shd w:val="clear" w:color="auto" w:fill="FFFFFF"/>
        </w:rPr>
        <w:t xml:space="preserve"> links closely with the assessment of employability skills in the Core Foundations of Legal Knowledge modules.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The Professional Readiness module prepares students for professional experience activities in TB3, such as an internship. Students have the opportunity to secure an internship opportunity in TB3 at Level 4 and/or Level 5. The module also prepares students for employment on a more general level, by enabling students to apply and develop in real organisations the knowledge and skills they have learnt in the classroom, as well as enhancing the skills and attributes employers expect new recruits to possess. All placement providers are subject to due diligence and ongoing monitoring to ensure that the student experience is of a high quality, and that equality, diversity and inclusion standards are met. This applies equally to placement providers based overseas.</w:t>
      </w:r>
    </w:p>
    <w:p w:rsidRPr="2030048C" w:rsidP="2030048C">
      <w:pPr>
        <w:pStyle w:val="MediumGrid21"/>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In addition to a work placement or internship, students also have the option of studying abroad or working for a year between Levels 5 and 6. Students who attend a period of study abroad gain a great deal from the experience, particularly regarding different cultures and living in a different country. Students who do a year-long work placement gain invaluable experience, as well as the opportunity of developing employability skills, as well as having the opportunity to explore careers they may be interested in pursuing after graduation.</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Briefing sessions on the options available to students during TB3, are given during Levels 4 and 5.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lang w:val="en-US" w:eastAsia="en-US"/>
        </w:rPr>
        <w:t>This intensive and innovative Course aims to provide students, and graduates, with the self-determination they need to reach their goals, and the knowledge and skills that will serve them well in the future. S</w:t>
      </w:r>
      <w:r w:rsidRPr="2030048C">
        <w:rPr>
          <w:rStyle w:val="normaltextrun"/>
          <w:rFonts w:ascii="Arial" w:hAnsi="Arial" w:cs="Arial"/>
          <w:color w:val="000000" w:themeColor="text1"/>
          <w:sz w:val="22"/>
          <w:szCs w:val="22"/>
          <w:shd w:val="clear" w:color="auto" w:fill="FFFFFF"/>
        </w:rPr>
        <w:t xml:space="preserve">tudents are encouraged to have high aspirations, in line with high expectations of them on the LLB programme. The programme prioritises inclusion and diversity, and students are provided with a very high level of support so that they can achieve their potential. This support is not only towards academic achievement but also in developing key skills for confidence and employability.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To give students the best platform for securing employment, there is also a wide range of opportunities for students to become involved in real-world learning, through co-curricular and extra-curricular activities.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On completion of the LLB programme, Kingston Law School graduates will demonstrate not only legal knowledge, but also self-confidence, self-determination, flexibility, and inter-personal skills.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The location of Kingston University means students enjoy easy access to central London, and important legal institutions, such as the Supreme Court of England and Wales, the Houses of Parliament, the Royal Courts of Justice, and the Old Bailey, which are nine miles away. Kingston-upon-Thames is an ancient settlement dating back to the Anglo-Saxon period and kings were once crowned here. In modern times, it has developed into a vibrant shopping and entertainment hub, as well as being the seat of Kingston University.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fundamental doctrines and principles which underpin the law of England and Wales; demonstrate a knowledge of the sources of that law, and how it is made and developed; demonstrate a knowledge of the institutions within which that law is administered and the personnel who practise that law.</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the capacity for abstract manipulation of complex ideas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 TeamworkBe an effective and communicative member of a teamWork as part of a teamReview and evaluate progress of groups and collective performanceIdentify ways of improving the performance of groups and their own contribution to groups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doctrines and principles which underpin the specialised areas of law which they have chosen to study and an appreciation of the social and other pressures that shape the development of the law.</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undertake systematic management of complex factual information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 Communication SkillsContribute effectively to group discussionMake an oral presentation and be able participate in mooting scenariosRead, select, extract and collate information from written, spoken or other appropriate sourcesProduce written materials in a variety of formats using the English language at all times with scrupulous care and accuracyIncorporate in documents either tables, charts, graphs or diagramsBe able to make appropriate use of electronic communication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acquire intellectual and practical skills needed to research the law on specific matters and to analyse both statute and case law, to apply it to the solution of legal problems and to communicate - both in writing and orally - the results of such work. Students on the American programme will have demonstrated an ability to succeed in a year of academic study in the United States of America. Students on the 4 Year Study Abroad Programme variant will have demonstrated an ability to succeed in a year of academic study in one of the countries in which the university 4 Year Programme operates.Students on the Work Placement variant will have demonstrated their ability to operate effectively in a working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Evidence intelligent critical reading of 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b. NumeracyCollect data from primary and secondary sources selectivelyEvaluate and present data in suitable formatsRecord data in an appropriate formatBe able to appreciate  issues of selection, accuracy and uncertainty in the collection and analysis of data</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knowledge of the institutions within which that law is administered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Construct a logical argument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 Information, Communication and TechnologyUse ICT to present text/numerical data and imagesProduce a document that incorporates and combines different types of informationSearch for, retrieve and store information using ICT resourcesUse on-line communications systems, including the learning management system, to obtain and send information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2"/>
          <w:szCs w:val="22"/>
        </w:rPr>
        <w:t>LLB (Hons.) with Professional Experience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This Course programme is offered in full-time mode and leads to the award of LLB (Hons) International Law with Professional Experience for students achieving the full 360 credits. Credits achieved for the Professional Readiness and Professional Experience modules count towards this final award but not towards degree classification. Entry is normally at level 4 with A-level or equivalent qualifications (see section D). Intake is in September.</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2"/>
          <w:szCs w:val="22"/>
        </w:rPr>
        <w:t xml:space="preserve">C1.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Each level is made up of four modules, each worth 30 credit points. Typically, a student must complete 120 credits at each level. In addition, students take the Professional Readiness and Skills module in both years 1 (Level 4) and 2 (Level 5). All students are provided with the University regulations and specific additions that are sometimes required for accreditation by outside bodies (e.g., professional, or statutory bodies that confer professional accreditation). Full details of each module are provided in module descriptors and student module guides.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specification of the Foundation Year in Social Science is available separately within the CMS.</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Note: As per </w:t>
      </w:r>
      <w:hyperlink r:id="rId11" w:history="1">
        <w:r w:rsidRPr="2030048C">
          <w:rPr>
            <w:rFonts w:ascii="Arial" w:eastAsia="Arial" w:hAnsi="Arial" w:cs="Arial"/>
            <w:color w:val="000000" w:themeColor="text1" w:themeShade="FF" w:themeTint="FF"/>
            <w:sz w:val="22"/>
            <w:szCs w:val="22"/>
          </w:rPr>
          <w:t>GR5</w:t>
        </w:r>
      </w:hyperlink>
      <w:r w:rsidRPr="2030048C">
        <w:rPr>
          <w:rFonts w:ascii="Arial" w:eastAsia="Arial" w:hAnsi="Arial" w:cs="Arial"/>
          <w:color w:val="000000" w:themeColor="text1" w:themeShade="FF" w:themeTint="FF"/>
          <w:sz w:val="22"/>
          <w:szCs w:val="22"/>
        </w:rPr>
        <w:t xml:space="preserve"> within the general regulations, the University aims to ensure that all Optional modules listed below are delivered. However, for various reasons, such as demand, the availability of Optional modules may vary from year to year, or between teaching blocks.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LLB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International Law</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LLB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International Law</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Constitutional and Administrative Law</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LL4306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English Legal System, Skills &amp; Ethics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LL4305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Law of Contract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LL4302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Law of Tort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LL4304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Progression to Level 5 requires students to have successfully passed 120 Level 4 credits (excluding the Professional Experience elements). Although students are not required to pass all elements within a module, attendance for all timetabled activities </w:t>
      </w:r>
      <w:r w:rsidRPr="2030048C">
        <w:rPr>
          <w:rStyle w:val="normaltextrun"/>
          <w:rFonts w:ascii="Arial" w:eastAsia="Arial" w:hAnsi="Arial" w:cs="Arial"/>
          <w:color w:val="000000" w:themeColor="text1" w:themeShade="FF" w:themeTint="FF"/>
          <w:sz w:val="24"/>
          <w:szCs w:val="24"/>
        </w:rPr>
        <w:t>including the Professional Readiness and Skills module is required.</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90 credits at Level 4 or above. The outstanding 30 credits from Level 4 can be trailed into Level 5 and must be passed before progression to Level 6.</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Law.</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LLB (Hons)</w:t>
            </w:r>
            <w:r w:rsidRPr="2030048C">
              <w:rPr>
                <w:rFonts w:ascii="Arial" w:eastAsia="Arial" w:hAnsi="Arial" w:cs="Arial"/>
                <w:b/>
                <w:bCs/>
                <w:lang w:val="en-GB"/>
              </w:rPr>
              <w:t xml:space="preserve"> </w:t>
            </w:r>
            <w:r w:rsidRPr="2030048C">
              <w:rPr>
                <w:rFonts w:ascii="Arial" w:eastAsia="Arial" w:hAnsi="Arial" w:cs="Arial"/>
                <w:b/>
                <w:bCs/>
                <w:lang w:val="en-GB"/>
              </w:rPr>
              <w:t>International Law</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Criminal Law</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LL5302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Exploring EU Law</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LL5310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INTERNATIONAL AND COMPARATIVE LAW</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LL5304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Land Law</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LL5301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Progression to Level 6 requires students to have successfully passed 120 Level 4 credits and 120 Level 5 credits (excluding the Professional Experience elements). Although students are not required to pass all elements within a module, attendance for all timetabled activities</w:t>
      </w:r>
      <w:r w:rsidRPr="2030048C">
        <w:rPr>
          <w:rStyle w:val="normaltextrun"/>
          <w:rFonts w:ascii="Arial" w:eastAsia="Arial" w:hAnsi="Arial" w:cs="Arial"/>
          <w:color w:val="FF0000"/>
          <w:sz w:val="22"/>
          <w:szCs w:val="22"/>
        </w:rPr>
        <w:t xml:space="preserve">, </w:t>
      </w:r>
      <w:r w:rsidRPr="2030048C">
        <w:rPr>
          <w:rStyle w:val="normaltextrun"/>
          <w:rFonts w:ascii="Arial" w:eastAsia="Arial" w:hAnsi="Arial" w:cs="Arial"/>
          <w:color w:val="000000" w:themeColor="text1" w:themeShade="FF" w:themeTint="FF"/>
          <w:sz w:val="22"/>
          <w:szCs w:val="22"/>
        </w:rPr>
        <w:t>including the Professional Readiness and Skills module and the Professional Experience modules, is required.</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 xml:space="preserve">Provided students have 120 credits at Level 4, then the Course permits progression from Level 5 to Level 6 with 90 credits at Level 5 or above. The outstanding 30 credits from Level 5 can be trailed into Level 6 and must be passed before consideration for an award or progression to Level 7 (if appropriate). </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Students exiting the programme at this point who have successfully completed 120 credits at Level 5 or above are eligible for the award of Diploma of Higher Education in Law</w:t>
      </w:r>
      <w:r w:rsidRPr="2030048C">
        <w:rPr>
          <w:rStyle w:val="normaltextrun"/>
          <w:rFonts w:ascii="Arial" w:eastAsia="Arial" w:hAnsi="Arial" w:cs="Arial"/>
          <w:i/>
          <w:iCs/>
          <w:color w:val="000000" w:themeColor="text1" w:themeShade="FF" w:themeTint="FF"/>
          <w:sz w:val="22"/>
          <w:szCs w:val="22"/>
        </w:rPr>
        <w:t>.</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LLB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International Law</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Equity and Trusts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LL6187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International Law 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LL6606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Company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LL6192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Family and Child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International Criminal and Human Rights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LL6603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International Trade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Technology, Intellectual Property and Innovation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LL6199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 xml:space="preserve">Level 6 requires students to have successfully passed 120 Level 6 credits (to include a 30 credit Capstone module and 60 credits of Optional modules). Capstone modules are intended to allow students to synthesise and apply what they have learned on the Course. The modules are designed to help students reflect on the knowledge and skills they have acquired during their degree and learning how to present them to a wider audience, including future employers. </w:t>
      </w:r>
    </w:p>
    <w:p w:rsidR="6DF80A31"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Students who pass 120 credits of their taught modules (excluding the Professional Experience elements) at each of Levels 4 and 5</w:t>
      </w:r>
      <w:r w:rsidRPr="2030048C">
        <w:rPr>
          <w:rStyle w:val="normaltextrun"/>
          <w:rFonts w:ascii="Arial" w:eastAsia="Arial" w:hAnsi="Arial" w:cs="Arial"/>
          <w:color w:val="FF0000"/>
          <w:sz w:val="22"/>
          <w:szCs w:val="22"/>
        </w:rPr>
        <w:t xml:space="preserve">, </w:t>
      </w:r>
      <w:r w:rsidRPr="2030048C">
        <w:rPr>
          <w:rStyle w:val="normaltextrun"/>
          <w:rFonts w:ascii="Arial" w:eastAsia="Arial" w:hAnsi="Arial" w:cs="Arial"/>
          <w:color w:val="000000" w:themeColor="text1" w:themeShade="FF" w:themeTint="FF"/>
          <w:sz w:val="22"/>
          <w:szCs w:val="22"/>
        </w:rPr>
        <w:t>and at least 60 credits at Level 6 may be awarded a Pass (Ordinary/Non-Honours) degree. Students who do not pass the Professional Experience elements but achieve 360 credits in all of their taught modules will be eligible for an LLB (Hons).</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LLB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International Law with Foundation Year in Social Sciences</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325"/>
        <w:gridCol w:w="277"/>
        <w:gridCol w:w="1"/>
        <w:gridCol w:w="670"/>
        <w:gridCol w:w="1"/>
        <w:gridCol w:w="670"/>
        <w:gridCol w:w="1"/>
        <w:gridCol w:w="670"/>
        <w:gridCol w:w="1"/>
        <w:gridCol w:w="670"/>
        <w:gridCol w:w="1"/>
        <w:gridCol w:w="670"/>
        <w:gridCol w:w="1"/>
        <w:gridCol w:w="670"/>
        <w:gridCol w:w="1"/>
        <w:gridCol w:w="670"/>
        <w:gridCol w:w="1"/>
        <w:gridCol w:w="669"/>
        <w:gridCol w:w="1"/>
        <w:gridCol w:w="1"/>
        <w:gridCol w:w="670"/>
        <w:gridCol w:w="1"/>
        <w:gridCol w:w="670"/>
        <w:gridCol w:w="1"/>
        <w:gridCol w:w="697"/>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LL4304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LL4306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LL4302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LL4305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LL5304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LL5301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LL5302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LL5310</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LL6606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LL6187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table" w:customStyle="1" w:styleId="Table">
    <w:name w:val="Table"/>
    <w:basedOn w:val="TableNormal"/>
    <w:tblPr/>
  </w:style>
  <w:style w:type="paragraph" w:customStyle="1" w:styleId="MediumGrid1-Accent21">
    <w:name w:val="MediumGrid1-Accent21"/>
    <w:basedOn w:val="ListParagraph"/>
  </w:style>
  <w:style w:type="paragraph" w:customStyle="1" w:styleId="MediumGrid21">
    <w:name w:val="MediumGrid21"/>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d68b3152cf5d08c2f050-97c828cc9502c69ac5af7576c62d48d6.ssl.cf3.rackcdn.com/documents/user-upload/kingston-university-63963086086-kingston-university-gr5-changes.pdf"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2B747A7-9B30-439D-9DEF-217F66D6F3DF}"/>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