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Law with Professional Experience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 with Professional Experience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Law with Professional Experience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International Law with Professional Experience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International Law with Professional Experience</w:t>
            </w:r>
            <w:r>
              <w:br/>
            </w:r>
            <w:r w:rsidRPr="2030048C" w:rsidR="71C545CA">
              <w:rPr>
                <w:rFonts w:ascii="Arial" w:eastAsia="Arial" w:hAnsi="Arial" w:cs="Arial"/>
                <w:b w:val="0"/>
                <w:bCs w:val="0"/>
                <w:sz w:val="24"/>
                <w:szCs w:val="24"/>
                <w:lang w:val="en-GB"/>
              </w:rPr>
              <w:t>BA (Hons) International Law</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UWLLB1LLB04</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3 years full-time (code M100), 4 years sandwich (with year in industry) (code M102); 4 years full-time (with year abroad) (code M103)</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Kingston Hill /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Solicitors’ Regulatory Authority and Bar Standards Board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c>
            </w:tr>
          </w:tbl>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The LLB </w:t>
      </w:r>
      <w:r w:rsidRPr="2030048C">
        <w:rPr>
          <w:rStyle w:val="normaltextrun"/>
          <w:rFonts w:ascii="Arial" w:hAnsi="Arial" w:cs="Arial"/>
          <w:color w:val="000000" w:themeColor="text1"/>
          <w:sz w:val="24"/>
          <w:szCs w:val="24"/>
          <w:shd w:val="clear" w:color="auto" w:fill="FFFFFF"/>
        </w:rPr>
        <w:t>International Law</w:t>
      </w:r>
      <w:r w:rsidRPr="2030048C">
        <w:rPr>
          <w:rStyle w:val="normaltextrun"/>
          <w:rFonts w:ascii="Arial" w:hAnsi="Arial" w:cs="Arial"/>
          <w:color w:val="000000"/>
          <w:sz w:val="24"/>
          <w:szCs w:val="24"/>
          <w:shd w:val="clear" w:color="auto" w:fill="FFFFFF"/>
        </w:rPr>
        <w:t xml:space="preserve"> has been designed for those who may wish to pursue a career in the legal profession by providing an opportunity to meet the requirement of the professional bodies for the academic stage of legal education. This is achieved by the incorporation of the Foundations of Legal Knowledge as compulsory core modules on the Course. In order to develop legal proficiency, we offer a wide range of legal specialisms in the second (Level 5) and final (Level 6) year.  </w:t>
      </w:r>
      <w:r w:rsidRPr="2030048C">
        <w:rPr>
          <w:rStyle w:val="normaltextrun"/>
          <w:rFonts w:ascii="Arial" w:hAnsi="Arial" w:cs="Arial"/>
          <w:color w:val="000000" w:themeColor="text1"/>
          <w:sz w:val="24"/>
          <w:szCs w:val="24"/>
          <w:shd w:val="clear" w:color="auto" w:fill="FFFFFF"/>
        </w:rPr>
        <w:t>The Course also allows students to specialise in international law.</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The LLB International Law allows students to develop transferable employability skills, which means it is also appropriate for those who may wish to pursue careers not only the legal sector but also in other professions, thus providing a wide range of career opportunities. Students take part in the three tiers of the Future Skills Programme of Kingston University.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programme prioritises inclusion and diversity, and students are provided with a very high level of support so that they can achieve their potential. This support is not only towards academic achievement but also in developing key skills for confidence and employability.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doctrines and principles which</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underpin the law of England and</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Wales; demonstrate a knowledge of</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the sources of that law, and how it is made and developed.</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an effective and communicative member of a team. Work as part of a team. Review and evaluate progress of groups and collective performanceIdentify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an appreciation of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Contribute effectively to group discussionMake an oral presentation and be able participate in mooting scenariosRead, select, extract and collate information from written, spoken or other appropriate sourcesProduce written materials in a variety of formats using the English language at all times with scrupulous care and accuracyIncorporate in documents either tables, charts, graphs or diagramsBe able to make appropriate use of electronic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intelligent critical reading of 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data from primary and secondary sources selectivelyEvaluate and present data in suitable formatsRecord data in an appropriate formatBe able to appreciate  issues of selection, accuracy and uncertainty in the collection and analysis of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ICT to present text/numerical data and imagesProduce a document that incorporates and combines different types of informationSearch for, retrieve and store information using ICT resourcesUse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are provided with the University regulations and specific additions that are </w:t>
      </w:r>
      <w:r w:rsidRPr="2030048C">
        <w:rPr>
          <w:rFonts w:ascii="Arial" w:eastAsia="Arial" w:hAnsi="Arial" w:cs="Arial"/>
          <w:color w:val="000000" w:themeColor="text1" w:themeShade="FF" w:themeTint="FF"/>
          <w:sz w:val="24"/>
          <w:szCs w:val="24"/>
        </w:rPr>
        <w:t>sometimes required for accreditation by outside bodies (e.g. professional or statutory </w:t>
      </w:r>
      <w:r w:rsidRPr="2030048C">
        <w:rPr>
          <w:rFonts w:ascii="Arial" w:eastAsia="Arial" w:hAnsi="Arial" w:cs="Arial"/>
          <w:color w:val="000000" w:themeColor="text1" w:themeShade="FF" w:themeTint="FF"/>
          <w:sz w:val="24"/>
          <w:szCs w:val="24"/>
        </w:rPr>
        <w:t>bodies that confer professional accreditation). Full details of each module will be </w:t>
      </w:r>
      <w:r w:rsidRPr="2030048C">
        <w:rPr>
          <w:rFonts w:ascii="Arial" w:eastAsia="Arial" w:hAnsi="Arial" w:cs="Arial"/>
          <w:color w:val="000000" w:themeColor="text1" w:themeShade="FF" w:themeTint="FF"/>
          <w:sz w:val="24"/>
          <w:szCs w:val="24"/>
        </w:rPr>
        <w:t>provided in module descriptors and in the module canvas pages.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 with Professional Experience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 with Professional Experience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International Law with Professional Experience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INTERNATIONAL AND COMPARATIVE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 with Professional Experience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Law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LL6606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Family and Child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International Trade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Technology, Intellectual Property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LL6199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jc w:val="both"/>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both"/>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Year Tutor for each of Levels 4, 5 and 6</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Student and Course Administrator</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 xml:space="preserve">Bar Standards Board (BSB) accreditation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Solicitors Regulation Authority (SRA)</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325"/>
        <w:gridCol w:w="277"/>
        <w:gridCol w:w="1"/>
        <w:gridCol w:w="670"/>
        <w:gridCol w:w="1"/>
        <w:gridCol w:w="670"/>
        <w:gridCol w:w="1"/>
        <w:gridCol w:w="670"/>
        <w:gridCol w:w="1"/>
        <w:gridCol w:w="670"/>
        <w:gridCol w:w="1"/>
        <w:gridCol w:w="670"/>
        <w:gridCol w:w="1"/>
        <w:gridCol w:w="670"/>
        <w:gridCol w:w="1"/>
        <w:gridCol w:w="670"/>
        <w:gridCol w:w="1"/>
        <w:gridCol w:w="669"/>
        <w:gridCol w:w="1"/>
        <w:gridCol w:w="1"/>
        <w:gridCol w:w="670"/>
        <w:gridCol w:w="1"/>
        <w:gridCol w:w="670"/>
        <w:gridCol w:w="1"/>
        <w:gridCol w:w="69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LL6606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878322F-2467-45A3-8C81-B3E7B875830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