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Year One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 International Study Centre (“KULISC”) – Study Group</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Year One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UFSTG1BAM95</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 International Study Centre (“KULISC”) – Study Group</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Details of minimum international entry qualifications and qualification equivalencies are provided on a separate spreadsheet maintained by both the validated partner and the university.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entry to the programme, students must meet English language entry conditions of Academic IELTS for UKVI 5.5 overall (minimum 5.5 in all skills).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This programme is designed for students seeking progression with advanced standing to Kingston University’s BSc (Hons) Business Management, a practical, general business degree that includes integrated employability skills development and professional membership within the standard three years of a normal UK degree.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International Year One programme consists of 2 key streams.</w:t>
      </w:r>
    </w:p>
    <w:p w:rsidRPr="2030048C" w:rsidP="2030048C">
      <w:pPr>
        <w:pStyle w:val="ListParagraph"/>
        <w:ind w:left="3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An academic programme bearing 120 FHEQ Level 4 credits designed to reach the learning outcomes required for students to move onto Level 5 of the BSc (Hons) Business Management with Business Experience.</w:t>
      </w:r>
    </w:p>
    <w:p w:rsidRPr="2030048C" w:rsidP="2030048C">
      <w:pPr>
        <w:pStyle w:val="ListParagraph"/>
        <w:ind w:left="3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An English language programme designed to develop English language skills as well as appropriate study skills and independent learning techniques over the  course.</w:t>
      </w:r>
    </w:p>
    <w:p w:rsidRPr="2030048C" w:rsidP="2030048C">
      <w:pPr>
        <w:pStyle w:val="ListParagraph"/>
        <w:ind w:left="3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academic programme will be delivered over five modules, four of which are bearing 30 credits (120 credits in total) and one non-credit bearing module (i Academic English Skills).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modules cover course content and learning outcomes equivalent to Level 4 of the BSc (Hons) Business Management, with additional English language development:</w:t>
      </w:r>
    </w:p>
    <w:p w:rsidRPr="2030048C" w:rsidP="2030048C">
      <w:pPr>
        <w:pStyle w:val="ListParagraphCxSpFirst"/>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Data and Technology in Business</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Global Business Environments</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Organisations &amp; People</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Marketing &amp; Sales</w:t>
      </w:r>
    </w:p>
    <w:p w:rsidRPr="2030048C" w:rsidP="2030048C">
      <w:pPr>
        <w:pStyle w:val="ListParagraphCxSpMiddle"/>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           Academic English Skills (AES)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During the programme students study the general global business environment with a contextual Economics module and Organisational Behaviour, Marketing and Statistics modules, as well as engaging with a range of degree-relevant professional and personal skills development sessions.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At this level, students are expected to be able to describe and structure business problems. The first-year modules prepare students for the broader and deeper study of the key management functions in their second year. At this level, students develop their critical thinking skills, allowing them to propose solutions to business issues while developing entrepreneurial thinking, and their knowledge of the management of human and financial resources, projects and operations. Further skills development and preparation for the business experience will also take place, making students business-ready and enabling them to choose from the options available to hone their skills in practice.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All students will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their professional competencies and ensure they develop their employability skills, so they are ready for the world of work. Students will develop a portfolio of competencies, skills and reflections on progress and strengths, that can be used for discussions with and decision about their future career and their placement options.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Further skills development and preparation for Guided Independent Study will also take place, making students more self-reliant and taking responsibility for acquiring independent learning skills which will help them subsequently.</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overall aims are to provide students with the required level of subject knowledge and to enable them to develop the English language and study skills to become successful and fully engaged within an HE context in the UK.</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Curricular and extra-curricular activities within the programme are aligned to ensure that the student learning experience encompasses three main areas of personal development: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Participation</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 is that students understand what it means to participate within a UK University environment both academically and socially.</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Self -Directed Learning</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 is that students are able to organise their time and use resources to achieve the learning outcomes of their programme.</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Academic Skills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 is that students are able to understand different levels of knowledge and develop their academic skills during the programme</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4"/>
          <w:szCs w:val="24"/>
          <w:shd w:val="clear" w:color="auto" w:fill="FFFFFF"/>
        </w:rPr>
        <w:t>Guided Independent Study</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main aims of this programme are to develop the following essential background and academic skills, for the BSc degree programme:</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r w:rsidRPr="2030048C">
        <w:rPr>
          <w:rStyle w:val="normaltextrun"/>
          <w:rFonts w:ascii="Arial" w:hAnsi="Arial" w:cs="Arial"/>
          <w:color w:val="000000"/>
          <w:sz w:val="24"/>
          <w:szCs w:val="24"/>
          <w:shd w:val="clear" w:color="auto" w:fill="FFFFFF"/>
        </w:rPr>
        <w:t xml:space="preserve">Introduce students to core elements of business and management. Begin to develop in students the intellectual skills necessary to contribute to effective business practice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Ensure students can u</w:t>
      </w:r>
      <w:r w:rsidRPr="2030048C">
        <w:rPr>
          <w:rStyle w:val="normaltextrun"/>
          <w:rFonts w:ascii="Arial" w:hAnsi="Arial" w:cs="Arial"/>
          <w:color w:val="252A2F"/>
          <w:sz w:val="24"/>
          <w:szCs w:val="24"/>
          <w:shd w:val="clear" w:color="auto" w:fill="FFFFFF"/>
        </w:rPr>
        <w:t>se a range of IT tools effectively to access information from a range of sources and evaluate its validity</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Equip students with relevant academic skills and an appropriate degree of proficiency in spoken and written English in the Business context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252A2F"/>
          <w:sz w:val="24"/>
          <w:szCs w:val="24"/>
          <w:shd w:val="clear" w:color="auto" w:fill="FFFFFF"/>
        </w:rPr>
        <w:t>Make students aware of contemporary issues in business and management, such as organisational behaviour, ethics and marketing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global business environment, in relation to business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relevant theory and apply to real-world business examples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justify structured and coherent arguments providing evidence of the ability to interpret different assumptions and perspectives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functional business areas, including:marketing conceptsstatistics and information systemsbusiness economicsorganisational behaviour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IT tools effectively to access business information and data from a range of sources and evaluate its validity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demonstrate the use of current methods and techniques to analyse data in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appraise business information to solve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Think independently and interact effectively within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issues relating to the management of business, together with the social environment within which businesses operate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This is a full-time programme leading to progression to Level 5 of the BSc (Hons) Business Management.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IY1 is made up of four modules each worth 30 credits plus Academic English Skills (AES) which is non-credit bearing. Thus, a student must complete 120 credits at Level 4, plus AES.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All students will be provided with the University regulations during the induction period. These detail the processes and procedures in place to ensure all students are treated equally and fairly.  Full details of each module are provided in module descriptors and student module guides. These will be made available on the Virtual Learning Environment (VLE).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Level 4/Year 1: All modules are core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Year One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Year One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XS4208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International Year One Academic English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Progression to Level 5 requires all Level 4 credit-bearing modules to be passed at the pass mark of 40%, and in the case of Academic English Skills, students are required to achieve overall 60% and minimum of 50% in all skills.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At KULISC and Kingston University we are “Led by Learning” in all that we do,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Quality Assurance Agency for Higher Education’s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2030048C">
        <w:rPr>
          <w:rFonts w:ascii="Arial" w:eastAsia="Arial" w:hAnsi="Arial" w:cs="Arial"/>
          <w:color w:val="000000"/>
          <w:sz w:val="24"/>
          <w:szCs w:val="24"/>
          <w:shd w:val="clear" w:color="auto" w:fill="FFFFFF"/>
        </w:rPr>
        <w:t xml:space="preserve">online tests and quizzes, videos and podcasts. </w:t>
      </w:r>
      <w:r w:rsidRPr="2030048C">
        <w:rPr>
          <w:rFonts w:ascii="Arial" w:eastAsia="Arial" w:hAnsi="Arial" w:cs="Arial"/>
          <w:sz w:val="24"/>
          <w:szCs w:val="24"/>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Our rich and inclusive curriculum is continually reviewed in consultation with our students and Faculty to take account of new developments, seeking to keep the programme exciting and lively. A range of methods are used to actively engage students, including problem solving and enquiry-based learning, industry research and peer-assisted learning. Formative assessment develops key aims during the progress of a module.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Exams (which may include progress testing of core knowledge) seek to assess the depth and range of student understanding.  Presentation skills and group learning are developed throughout the programme to emulate the real-world situations in which our students may find themselves.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group work develops the essential skills of working with others (a key feature of the Organisational Behaviour module) and thus replicates business practice of collaborative teamwork.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Personal Tutors/Academic Progression Mentors are assigned to each student and remain with the student throughout their time on the course. The KULISC Academic Progression Mentors handover to their counterparts at Kingston University when the student’s progress to Level 5 to ensure continuity with the Personal Tutor Scheme. To further support students, all personal tutors/academic mentors are advised of the nature and timing of the assessments for each module, enabling them to identify and discuss areas of strength and weakness in each individual student’s skills and knowledge set.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Feedback received and discussed in year one will feed forward into year two, and subsequently into the final year, further enabling tutors/mentors to direct tutees to appropriate sources of support, guidance and development. Personal tutors/mentors and the Kingston University’s Business &amp; Professional Experience Team will also be able to support students in discussions around their potential or preferred specialism in the Second Year.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ind w:left="360"/>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is delivered through:</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Tutor-led classroom sessions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Small group tutorials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Formal lectures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Group work</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Presentations, debates and discussions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Project work</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Guided Independent Study</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Mentoring sessions</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 xml:space="preserve">Career and Employability Workshops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pStyle w:val="ListParagraph0"/>
        <w:jc w:val="both"/>
        <w:rPr>
          <w:rFonts w:ascii="Arial" w:eastAsia="Arial" w:hAnsi="Arial" w:cs="Arial"/>
          <w:sz w:val="24"/>
          <w:szCs w:val="24"/>
        </w:rPr>
      </w:pPr>
      <w:r w:rsidRPr="2030048C">
        <w:rPr>
          <w:rFonts w:ascii="Arial" w:eastAsia="Arial" w:hAnsi="Arial" w:cs="Arial"/>
          <w:b/>
          <w:bCs/>
          <w:sz w:val="24"/>
          <w:szCs w:val="24"/>
        </w:rPr>
        <w:t xml:space="preserve">1) Academic Mentoring Sessions/Career Ahead: </w:t>
      </w:r>
      <w:r w:rsidRPr="2030048C">
        <w:rPr>
          <w:rFonts w:ascii="Arial" w:eastAsia="Arial" w:hAnsi="Arial" w:cs="Arial"/>
          <w:color w:val="000000"/>
          <w:sz w:val="24"/>
          <w:szCs w:val="24"/>
          <w:shd w:val="clear" w:color="auto" w:fill="FFFFFF"/>
        </w:rPr>
        <w:t xml:space="preserve">This is a compulsory one-hour session offered per week on a weekly basis for all International Year 1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 Ahead, </w:t>
      </w:r>
      <w:r w:rsidRPr="2030048C">
        <w:rPr>
          <w:rFonts w:ascii="Arial" w:eastAsia="Arial" w:hAnsi="Arial" w:cs="Arial"/>
          <w:sz w:val="24"/>
          <w:szCs w:val="24"/>
        </w:rPr>
        <w:t xml:space="preserve">supporting students to develop valuable employment skills. </w:t>
      </w:r>
    </w:p>
    <w:p w:rsidRPr="2030048C" w:rsidP="2030048C">
      <w:pPr>
        <w:jc w:val="both"/>
        <w:rPr>
          <w:rFonts w:ascii="Arial" w:eastAsia="Arial" w:hAnsi="Arial" w:cs="Arial"/>
          <w:sz w:val="24"/>
          <w:szCs w:val="24"/>
        </w:rPr>
      </w:pPr>
      <w:r w:rsidRPr="2030048C">
        <w:rPr>
          <w:rFonts w:ascii="Arial" w:eastAsia="Arial" w:hAnsi="Arial" w:cs="Arial"/>
          <w:sz w:val="24"/>
          <w:szCs w:val="24"/>
        </w:rPr>
        <w:t>Career Ahead activities include: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Keeping a reflective diary;</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Completing a bespoke skills review, identifying personal strengths and areas for development;</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4"/>
          <w:szCs w:val="24"/>
        </w:rPr>
        <w:t>Writing a personal development plan.</w:t>
      </w:r>
    </w:p>
    <w:p w:rsidRPr="2030048C" w:rsidP="2030048C">
      <w:pPr>
        <w:jc w:val="both"/>
        <w:rPr>
          <w:rFonts w:ascii="Arial" w:eastAsia="Arial" w:hAnsi="Arial" w:cs="Arial"/>
          <w:sz w:val="24"/>
          <w:szCs w:val="24"/>
        </w:rPr>
      </w:pPr>
      <w:r w:rsidRPr="2030048C">
        <w:rPr>
          <w:rFonts w:ascii="Arial" w:eastAsia="Arial" w:hAnsi="Arial" w:cs="Arial"/>
          <w:sz w:val="24"/>
          <w:szCs w:val="24"/>
        </w:rPr>
        <w:t>Through Career Ahead activities, students will:</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Demonstrate self-awareness and personal skills development;</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Acquire knowledge about the ‘world of work’</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Undertake self-reflection and take action to improve;</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4"/>
          <w:szCs w:val="24"/>
        </w:rPr>
        <w:t>Develop an awareness of the need to take responsibility for their own future.</w:t>
      </w:r>
    </w:p>
    <w:p w:rsidRPr="2030048C" w:rsidP="2030048C">
      <w:pPr>
        <w:pStyle w:val="ListParagraphCxSpFirst"/>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ListParagraphCxSpLast"/>
        <w:jc w:val="both"/>
        <w:rPr>
          <w:rFonts w:ascii="Arial" w:eastAsia="Arial" w:hAnsi="Arial" w:cs="Arial"/>
          <w:sz w:val="24"/>
          <w:szCs w:val="24"/>
        </w:rPr>
      </w:pPr>
      <w:r w:rsidRPr="2030048C">
        <w:rPr>
          <w:rFonts w:ascii="Arial" w:eastAsia="Arial" w:hAnsi="Arial" w:cs="Arial"/>
          <w:color w:val="000000"/>
          <w:sz w:val="24"/>
          <w:szCs w:val="24"/>
          <w:shd w:val="clear" w:color="auto" w:fill="FFFFFF"/>
        </w:rPr>
        <w:t xml:space="preserve">The Academic Progression Mentoring Scheme (and Career Ahead) does not contribute to the assessment of the International Year One Programme </w:t>
      </w:r>
      <w:r w:rsidRPr="2030048C">
        <w:rPr>
          <w:rFonts w:ascii="Arial" w:eastAsia="Arial" w:hAnsi="Arial" w:cs="Arial"/>
          <w:sz w:val="24"/>
          <w:szCs w:val="24"/>
        </w:rPr>
        <w:t>and compliments the Business Readiness module, rather than duplicates</w:t>
      </w:r>
      <w:r w:rsidRPr="2030048C">
        <w:rPr>
          <w:rFonts w:ascii="Arial" w:eastAsia="Arial" w:hAnsi="Arial" w:cs="Arial"/>
          <w:color w:val="000000"/>
          <w:sz w:val="24"/>
          <w:szCs w:val="24"/>
          <w:shd w:val="clear" w:color="auto" w:fill="FFFFFF"/>
        </w:rPr>
        <w:t>. This session is based on the rationale of providing all International Year One students with academic, employability and/or social support and guidance during their studies. The mentor and mentees are to work together to build positive relationships and fundamentally student success at International Year One.</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2) Library: </w:t>
      </w:r>
      <w:r w:rsidRPr="2030048C">
        <w:rPr>
          <w:rFonts w:ascii="Arial" w:eastAsia="Arial" w:hAnsi="Arial" w:cs="Arial"/>
          <w:sz w:val="24"/>
          <w:szCs w:val="24"/>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2030048C" w:rsidP="2030048C">
      <w:pPr>
        <w:jc w:val="both"/>
        <w:rPr>
          <w:rFonts w:ascii="Arial" w:eastAsia="Arial" w:hAnsi="Arial" w:cs="Arial"/>
          <w:sz w:val="24"/>
          <w:szCs w:val="24"/>
        </w:rPr>
      </w:pPr>
      <w:r w:rsidRPr="2030048C">
        <w:rPr>
          <w:rFonts w:ascii="Arial" w:eastAsia="Arial" w:hAnsi="Arial" w:cs="Arial"/>
          <w:b/>
          <w:bCs/>
          <w:sz w:val="24"/>
          <w:szCs w:val="24"/>
        </w:rPr>
        <w:t>3) Extended writing:</w:t>
      </w:r>
      <w:r w:rsidRPr="2030048C">
        <w:rPr>
          <w:rFonts w:ascii="Arial" w:eastAsia="Arial" w:hAnsi="Arial" w:cs="Arial"/>
          <w:sz w:val="24"/>
          <w:szCs w:val="24"/>
        </w:rPr>
        <w:t xml:space="preserve"> Through the extended writing in the modules, students will also be able to develop their writing and presentational skills.  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rsidRPr="2030048C" w:rsidP="2030048C">
      <w:pPr>
        <w:jc w:val="both"/>
        <w:rPr>
          <w:rFonts w:ascii="Arial" w:eastAsia="Arial" w:hAnsi="Arial" w:cs="Arial"/>
          <w:sz w:val="24"/>
          <w:szCs w:val="24"/>
        </w:rPr>
      </w:pPr>
      <w:r w:rsidRPr="2030048C">
        <w:rPr>
          <w:rFonts w:ascii="Arial" w:eastAsia="Arial" w:hAnsi="Arial" w:cs="Arial"/>
          <w:b/>
          <w:bCs/>
          <w:sz w:val="24"/>
          <w:szCs w:val="24"/>
        </w:rPr>
        <w:t>4) Student Progression and Wellbeing Team:</w:t>
      </w:r>
      <w:r w:rsidRPr="2030048C">
        <w:rPr>
          <w:rFonts w:ascii="Arial" w:eastAsia="Arial" w:hAnsi="Arial" w:cs="Arial"/>
          <w:sz w:val="24"/>
          <w:szCs w:val="24"/>
        </w:rPr>
        <w:t xml:space="preserve"> The ISC has designated wellbeing and safeguarding staff will also provide support to students who need guidance on non-academic matters.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jc w:val="both"/>
        <w:rPr>
          <w:rFonts w:ascii="Arial" w:eastAsia="Arial" w:hAnsi="Arial" w:cs="Arial"/>
          <w:sz w:val="24"/>
          <w:szCs w:val="24"/>
        </w:rPr>
      </w:pPr>
      <w:r w:rsidRPr="2030048C">
        <w:rPr>
          <w:rFonts w:ascii="Arial" w:eastAsia="Arial" w:hAnsi="Arial" w:cs="Arial"/>
          <w:sz w:val="24"/>
          <w:szCs w:val="24"/>
        </w:rPr>
        <w:t>KULISC has several methods for evaluating and improving the quality and standards of its provision.  These include:</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External examiners – individual experts from another institution who assess the quality and comparability of our standards to those of other institutions</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Quality Assurance and Enhancement Committee/Boards of Study with student representation</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Periodic review undertaken at subject level with student involvement</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Moderation policies which ensure marking is fair and consistent</w:t>
      </w:r>
    </w:p>
    <w:p w:rsidR="3D0EBCB8" w:rsidRPr="2030048C" w:rsidP="2030048C">
      <w:pPr>
        <w:numPr>
          <w:ilvl w:val="0"/>
          <w:numId w:val="21"/>
        </w:numPr>
        <w:ind w:left="570" w:hanging="360"/>
        <w:jc w:val="both"/>
        <w:rPr>
          <w:rFonts w:ascii="Arial" w:eastAsia="Arial" w:hAnsi="Arial" w:cs="Arial"/>
          <w:sz w:val="24"/>
          <w:szCs w:val="24"/>
        </w:rPr>
      </w:pPr>
      <w:r w:rsidRPr="2030048C">
        <w:rPr>
          <w:rFonts w:ascii="Arial" w:eastAsia="Arial" w:hAnsi="Arial" w:cs="Arial"/>
          <w:sz w:val="24"/>
          <w:szCs w:val="24"/>
        </w:rPr>
        <w:t>Module/Programme Assessment Board</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17"/>
          <w:szCs w:val="17"/>
        </w:rPr>
        <w:t>QAA Subject benchmark</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XS4208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has a September and January intake.</w:t>
      </w:r>
    </w:p>
    <w:p w:rsidRPr="2030048C" w:rsidP="2030048C">
      <w:pPr>
        <w:rPr>
          <w:rFonts w:ascii="Arial" w:eastAsia="Arial" w:hAnsi="Arial" w:cs="Arial"/>
          <w:sz w:val="24"/>
          <w:szCs w:val="24"/>
        </w:rPr>
      </w:pPr>
      <w:r w:rsidRPr="2030048C">
        <w:rPr>
          <w:rFonts w:ascii="Arial" w:eastAsia="Arial" w:hAnsi="Arial" w:cs="Arial"/>
          <w:sz w:val="24"/>
          <w:szCs w:val="24"/>
        </w:rPr>
        <w:t>January intake delivery dates:</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Data and Technology in Business-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Global Business Environments-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Organisations &amp; People-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Marketing &amp; Sales - ACYR </w:t>
      </w:r>
      <w:r w:rsidRPr="2030048C">
        <w:rPr>
          <w:rFonts w:ascii="Arial" w:eastAsia="Arial" w:hAnsi="Arial" w:cs="Arial"/>
          <w:sz w:val="24"/>
          <w:szCs w:val="24"/>
        </w:rPr>
        <w:t>Jan-August</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Academic English Skills (AES) - ACYR </w:t>
      </w:r>
      <w:r w:rsidRPr="2030048C">
        <w:rPr>
          <w:rFonts w:ascii="Arial" w:eastAsia="Arial" w:hAnsi="Arial" w:cs="Arial"/>
          <w:sz w:val="24"/>
          <w:szCs w:val="24"/>
        </w:rPr>
        <w:t>Jan-August</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CxSpFirst">
    <w:name w:val="ListParagraphCxSpFirst"/>
    <w:basedOn w:val="ListParagraph"/>
  </w:style>
  <w:style w:type="paragraph" w:customStyle="1" w:styleId="ListParagraphCxSpMiddle">
    <w:name w:val="ListParagraphCxSpMiddle"/>
    <w:basedOn w:val="ListParagraph"/>
  </w:style>
  <w:style w:type="paragraph" w:customStyle="1" w:styleId="ListParagraph0">
    <w:name w:val="ListParagraph"/>
    <w:basedOn w:val="ListParagraph"/>
  </w:style>
  <w:style w:type="paragraph" w:customStyle="1" w:styleId="ListParagraphCxSpLast">
    <w:name w:val="ListParagraphCxSpLas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CABEC88-0756-445C-9D0D-9A8F7437E95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