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LLM</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 Law</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PPLAW1LAW01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PFLAW1LAW01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Faculty of Business and Social Sciences,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Possible exemptions by the Chartered Institute of Arbitrators (</w:t>
            </w:r>
            <w:r w:rsidRPr="2030048C">
              <w:rPr>
                <w:rStyle w:val="normaltextrun"/>
                <w:rFonts w:ascii="Arial" w:eastAsia="Arial" w:hAnsi="Arial" w:cs="Arial"/>
                <w:b w:val="0"/>
                <w:bCs w:val="0"/>
                <w:color w:val="000000"/>
                <w:sz w:val="22"/>
                <w:szCs w:val="22"/>
                <w:shd w:val="clear" w:color="auto" w:fill="FFFFFF"/>
              </w:rPr>
              <w:t>CIArb</w:t>
            </w:r>
            <w:r w:rsidRPr="2030048C">
              <w:rPr>
                <w:rStyle w:val="normaltextrun"/>
                <w:rFonts w:ascii="Arial" w:eastAsia="Arial" w:hAnsi="Arial" w:cs="Arial"/>
                <w:b w:val="0"/>
                <w:bCs w:val="0"/>
                <w:color w:val="000000"/>
                <w:sz w:val="22"/>
                <w:szCs w:val="22"/>
                <w:shd w:val="clear" w:color="auto" w:fill="FFFFFF"/>
              </w:rPr>
              <w:t>). (</w:t>
            </w:r>
            <w:r w:rsidRPr="2030048C">
              <w:rPr>
                <w:rStyle w:val="normaltextrun"/>
                <w:rFonts w:ascii="Arial" w:eastAsia="Arial" w:hAnsi="Arial" w:cs="Arial"/>
                <w:b w:val="0"/>
                <w:bCs w:val="0"/>
                <w:color w:val="000000"/>
                <w:sz w:val="22"/>
                <w:szCs w:val="22"/>
                <w:shd w:val="clear" w:color="auto" w:fill="FFFFFF"/>
              </w:rPr>
              <w:t xml:space="preserve">To be reactivated, </w:t>
            </w:r>
            <w:r w:rsidRPr="2030048C">
              <w:rPr>
                <w:rStyle w:val="normaltextrun"/>
                <w:rFonts w:ascii="Arial" w:eastAsia="Arial" w:hAnsi="Arial" w:cs="Arial"/>
                <w:b w:val="0"/>
                <w:bCs w:val="0"/>
                <w:color w:val="000000"/>
                <w:sz w:val="22"/>
                <w:szCs w:val="22"/>
                <w:shd w:val="clear" w:color="auto" w:fill="FFFFFF"/>
              </w:rPr>
              <w:t>see Section 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essence of the LLM is that, within an advanced academic environment, students will have the opportunity to engage with a range of legal issues which may be national or international, within their theoretical, social and economic contexts.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LLM is designed for students who want maximum flexibility. The programme allows students to tailor their studies to their aspirations by choosing four elective modules from a range of specialist subjects, such as Arbitration, Alternative Dispute Resolution, Company Law, Employment Law, Evidence and Arbitral Awards, Law of International Trade, Legal Aspects of Business Finance and Insolvency,</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2"/>
          <w:szCs w:val="22"/>
          <w:shd w:val="clear" w:color="auto" w:fill="FFFFFF"/>
        </w:rPr>
        <w:t>Law of Technology and Innovation, Family Law, Human Rights in Context and Theoretical Perspectives on Contemporary Legal Environments. The Legal Research and Dissertation module allows students to undertake a proper academic research project in any legal field of their interest – even beyond the taught modules – under the expert supervision of one of our scholars.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can choose between the full-time or the part-time programme. The full-time programme lasts one year and students are required to take two modules in the first term and three in the second (one of which is Legal Research and Dissertation). The part-time programme lasts two years and students are required to take one module for every term of each year plus Legal Research and Dissertation in the second term of the second year.</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LLM is not limited to traditional academic learning. Students on the LLM programme have the opportunity to take part in extracurricular activities such as mooting, the development of mediation skills and advocacy particularly through involvement in the Kingston Mooting and Advocacy Society. These activities help to develop presentational skills and interpersonal skills. Students will be also offered the opportunity, also through involvement in the Kingston Law Society, to engage with the legal professions and industry – for instance, through court visits and networking and social events with solicitors, barristers and other external stakeholders.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aims at offering a number of occasions to engage with Kingston University’s research environment – for instance, by being involved in the activities of research centres and groups. In particular, students also have the opportunity to participate in the regular research seminars that are held throughout the teaching terms. These seminars, in which members of staff present their research interests, are interactive and allow students and staff to develop points of interest.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After completion of the LLM, many students return to practise in their chosen field, having a deeper knowledge of a specialist area, while others embark on a new career, having found a new interest after studying a new subject.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LLM are to provide students with the opportunity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take advantage of a very flexible programme of taught modules by creating a programme of study designed to suit their own interests and aspirations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and develop the ability to analyse, evaluate and reflect upon, legal rules relating to areas selected by them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law to complex situations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research and investigative skills and a critical and research-oriented approach to the study of areas of law in which they are interested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interest at postgraduate level of related areas of legal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are central to work success in a knowledge economy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lifelong learning and continuing professional development.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and understanding of the sources of law, theory and practice in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legal problems and issues, taking due account of any incompleteness of data or information, and arrive at well-reasoned and supportable legal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online communication systems to send and obtain information on law, including the University’s learning management system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appreciate the national or international social and economic context of the law in the relevant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legal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the results of independent legal research both in writing and, if appropriate to any particular taught law modules, in other 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effectiveness of legal policy and practice developments in responding to current issues affecting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 when presenting legal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ICT to present legal text and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of law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Search for and retrieve information from ICT sources relevant for law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five modules: four at 30 credit points and one at 60 credit points. A student must complete 180 credits for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LLM is designed for students who want maximum flexibility: students will choose four taught modules from any of the electives, and will undertake a dissertation in an area of their choice, subject to the availability of an appropriate supervisor.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are provided in the module descriptors and student module handbooks.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LLM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Combating Financial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Family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of Technology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 xml:space="preserve"> Employment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Arbitration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ENERGY AND CLIMATE CHANGE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LL7056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Evidence and Arbitral Awards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LABOUR LAW IN THE GLOBAL ECONOMY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LAW OF INTERNATIONAL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Legal Aspects of Business Finance and Insolvency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LL7086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There are essentially two elements of the LLM, the taught modules and the Dissertation stage. The primary aim of the elements of teaching and learning on the LLM is to enable the programme aims, learning outcomes and the aims and learning outcomes of individual modules, both taught modules and the Legal Research and Dissertation, to be achieved by the student. In general terms, the teaching and learning philosophy of the continuous assessment programme is to enable the students to demonstrate their ability to study independently and it is envisaged that a relatively small proportion of student learning time will be staff-student contact time. </w:t>
      </w:r>
    </w:p>
    <w:p w:rsidRPr="2030048C" w:rsidP="2030048C">
      <w:pPr>
        <w:rPr>
          <w:rFonts w:ascii="Arial" w:eastAsia="Arial" w:hAnsi="Arial" w:cs="Arial"/>
          <w:sz w:val="24"/>
          <w:szCs w:val="24"/>
        </w:rPr>
      </w:pPr>
      <w:r w:rsidRPr="2030048C">
        <w:rPr>
          <w:rFonts w:ascii="Arial" w:eastAsia="Arial" w:hAnsi="Arial" w:cs="Arial"/>
          <w:sz w:val="24"/>
          <w:szCs w:val="24"/>
        </w:rPr>
        <w:t>The majority of the learning time of the student in relation to the taught modules will be spent in independent study, consisting of: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directed learning, giving the student specific tasks in preparation for, and in support of, class-based programmes, for example, the preparation of oral or written presentations, case analysis etc;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private learning time, comprising the preparation of material for seminars and workshops, reviewing of ideas introduced during contact time and directed research and development through reading, using recommended reading as a starting point;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preparation of assessed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supported by the Learning Resources Centre law collection, by law specific Web-based resources such as LexisNexis and WestLaw and by the university online learning management system, Canvas. Student learning is further enhanced by the opportunity to take part in skills competitions, e.g. the National Mediation Competition and the National Negotiation Competition. </w:t>
      </w:r>
    </w:p>
    <w:p w:rsidRPr="2030048C" w:rsidP="2030048C">
      <w:pPr>
        <w:rPr>
          <w:rFonts w:ascii="Arial" w:eastAsia="Arial" w:hAnsi="Arial" w:cs="Arial"/>
          <w:sz w:val="24"/>
          <w:szCs w:val="24"/>
        </w:rPr>
      </w:pPr>
      <w:r w:rsidRPr="2030048C">
        <w:rPr>
          <w:rFonts w:ascii="Arial" w:eastAsia="Arial" w:hAnsi="Arial" w:cs="Arial"/>
          <w:sz w:val="24"/>
          <w:szCs w:val="24"/>
        </w:rPr>
        <w:t>For the Legal Research and Dissertation, seminars will combine formal presentation of ideas and issues with exercises. Students will be encouraged to decide on their dissertation area at the earliest possible stage, and wherever possible, exercises will be aimed at helping them to develop ideas relevant to their dissertation research. Each student will be provided with a Research Handbook setting out in detail the various aspects of the Legal Research and Dissertation module. </w:t>
      </w:r>
    </w:p>
    <w:p w:rsidRPr="2030048C" w:rsidP="2030048C">
      <w:pPr>
        <w:rPr>
          <w:rFonts w:ascii="Arial" w:eastAsia="Arial" w:hAnsi="Arial" w:cs="Arial"/>
          <w:sz w:val="24"/>
          <w:szCs w:val="24"/>
        </w:rPr>
      </w:pPr>
      <w:r w:rsidRPr="2030048C">
        <w:rPr>
          <w:rFonts w:ascii="Arial" w:eastAsia="Arial" w:hAnsi="Arial" w:cs="Arial"/>
          <w:sz w:val="24"/>
          <w:szCs w:val="24"/>
        </w:rPr>
        <w:t>Once their research topic has been approved, students will be allocated a personal supervisor, to whom they will submit their proposal for approval. It will be stressed to students, both during the seminars and in the Research Handbook, that the Dissertation is their individual work but each student is entitled to up to 3 hours of face-to-face supervision time with his/her supervisor to address problems that they might encounter.  </w:t>
      </w:r>
    </w:p>
    <w:p w:rsidRPr="2030048C" w:rsidP="2030048C">
      <w:pPr>
        <w:rPr>
          <w:rFonts w:ascii="Arial" w:eastAsia="Arial" w:hAnsi="Arial" w:cs="Arial"/>
          <w:sz w:val="24"/>
          <w:szCs w:val="24"/>
        </w:rPr>
      </w:pPr>
      <w:r w:rsidRPr="2030048C">
        <w:rPr>
          <w:rFonts w:ascii="Arial" w:eastAsia="Arial" w:hAnsi="Arial" w:cs="Arial"/>
          <w:sz w:val="24"/>
          <w:szCs w:val="24"/>
        </w:rPr>
        <w:t>The assessments are planned to reflect the aims and to achieve the learning outcomes of the programme. They are designed to monitor student performance regularly in the context of specific requirements of individual modules, and to ultimately assess the knowledge and skills essential to meet the overall requirements of the Master’s degree. The assessment tutor schedules the coursework to ensure an even distribution of workload for students on the programme.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and module handbooks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Director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Each student is supported throughout the programme by a personal tutor. The personal tutor is available to discuss the student’s academic studies and monitor progress throughout the programme.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Centre for Academic Support and Enhancement (CASE) supports students in the School of Arts, Culture and Communication (Kingston School of Art) and the School of Law, Social and Behavioural Sciences (Faculty of Business and Social Sciences) with structuring and editing traditional academic writing.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Staff Student Consultative Committee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Students’ Union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88"/>
        <w:gridCol w:w="888"/>
        <w:gridCol w:w="888"/>
        <w:gridCol w:w="8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3A7660B-2ED6-422A-A152-6C01999DEEF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