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UFLLB1LLB20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Three years full time (M100), Four years full time including a year abroad (M132)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Law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Law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Law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UFLLB1LLB94</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Solicitors Regulation Authority; the Bar </w:t>
            </w:r>
            <w:r w:rsidRPr="2030048C">
              <w:rPr>
                <w:rStyle w:val="normaltextrun"/>
                <w:rFonts w:ascii="Arial" w:eastAsia="Arial" w:hAnsi="Arial" w:cs="Arial"/>
                <w:b w:val="0"/>
                <w:bCs w:val="0"/>
                <w:color w:val="000000"/>
                <w:sz w:val="24"/>
                <w:szCs w:val="24"/>
                <w:shd w:val="clear" w:color="auto" w:fill="FFFFFF"/>
              </w:rPr>
              <w:t>Standards Board.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compulsory core modules on the Course. </w:t>
      </w:r>
      <w:r w:rsidRPr="2030048C">
        <w:rPr>
          <w:rStyle w:val="normaltextrun"/>
          <w:rFonts w:ascii="Arial" w:hAnsi="Arial" w:cs="Arial"/>
          <w:color w:val="000000"/>
          <w:sz w:val="24"/>
          <w:szCs w:val="24"/>
          <w:shd w:val="clear" w:color="auto" w:fill="FFFFFF"/>
        </w:rPr>
        <w:t xml:space="preserve">In order to develop legal proficiency, we offer a range of legal specialisms in the second (Level 5) and final (Level 6) year.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LLB allows students to develop transferable employability skills, which means it is also appropriate for those who may wish to pursue careers not only the legal sector but also in other professions, thus providing a wide range of career opportunities. Students take part in the three tiers of the Future Skills Programme of Kingston University.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students also have the option of studying abroad or working for a year between Levels 5 and 6.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ICT to present text/numerical information and images. Be able to make appropriate use of electronic communication. Produce a document that incorporates and combines different types of information. Search for, retrieve and store information using ICT resources. 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 Collect information from primary and secondary sources selectively. Read, select, extract and collate information from written, spoken or other appropriate sources. Evaluate and present information in suitable formats. Be able to appreciate issues of selection, accuracy and uncertainty in the collection and analysis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appreciate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group discussionMake a presentation Produce written materials in a variety of formats using the English language at all times with scrupulous care and accuracyIncorporate tables, charts, graphs or diagrams into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an effective and communicative member of a team. Work as part of a team. Review and evaluate progress of groups and collective performance. 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w:t>
      </w:r>
      <w:r w:rsidRPr="2030048C">
        <w:rPr>
          <w:rFonts w:ascii="Arial" w:eastAsia="Arial" w:hAnsi="Arial" w:cs="Arial"/>
          <w:color w:val="000000" w:themeColor="text1" w:themeShade="FF" w:themeTint="FF"/>
          <w:sz w:val="24"/>
          <w:szCs w:val="24"/>
        </w:rPr>
        <w:t>sometimes required for accreditation by outside bodies (e.g. professional or statutory </w:t>
      </w:r>
      <w:r w:rsidRPr="2030048C">
        <w:rPr>
          <w:rFonts w:ascii="Arial" w:eastAsia="Arial" w:hAnsi="Arial" w:cs="Arial"/>
          <w:color w:val="000000" w:themeColor="text1" w:themeShade="FF" w:themeTint="FF"/>
          <w:sz w:val="24"/>
          <w:szCs w:val="24"/>
        </w:rPr>
        <w:t>bodies that confer professional accreditation). Full details of each module will be </w:t>
      </w:r>
      <w:r w:rsidRPr="2030048C">
        <w:rPr>
          <w:rFonts w:ascii="Arial" w:eastAsia="Arial" w:hAnsi="Arial" w:cs="Arial"/>
          <w:color w:val="000000" w:themeColor="text1" w:themeShade="FF" w:themeTint="FF"/>
          <w:sz w:val="24"/>
          <w:szCs w:val="24"/>
        </w:rPr>
        <w:t>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Commercial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Jurisprudence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Reform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Capstone modules (students need to choose 1 out of 3)- LL6198 Dispute Resolution, LL6604 Law Reform Project, LL6031 Jurisprudence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Optional Modules (students need to choose 1 x 30 credit and 1 x 15 credit module)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Bar Standards Board (BSB) accreditation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25"/>
        <w:gridCol w:w="298"/>
        <w:gridCol w:w="721"/>
        <w:gridCol w:w="721"/>
        <w:gridCol w:w="721"/>
        <w:gridCol w:w="721"/>
        <w:gridCol w:w="721"/>
        <w:gridCol w:w="721"/>
        <w:gridCol w:w="765"/>
        <w:gridCol w:w="721"/>
        <w:gridCol w:w="721"/>
        <w:gridCol w:w="7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2EB8F67-97BB-4A0C-9A21-D3FB634B151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