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LLB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Law</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19/01/2016</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09/03/2026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14</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Law, Social and Behavioural Sciences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Law</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LLB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Law</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LLB Law</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 HE LLB Law</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LLB Law</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UFLLB1LLB20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Three years full time (M100), Four years full time including a year abroad (M132)</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LLB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Law with Professional Placement</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LLB Law with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 HE LLB Law with Professional Placement</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LLB Law with Professional Placement</w:t>
            </w: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UFLLB1LLB94</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Penhryn Road</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Category 1: Primarily in person (0-20%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7</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The Solicitors Regulation Authority; the Bar </w:t>
            </w:r>
            <w:r w:rsidRPr="2030048C">
              <w:rPr>
                <w:rStyle w:val="normaltextrun"/>
                <w:rFonts w:ascii="Arial" w:eastAsia="Arial" w:hAnsi="Arial" w:cs="Arial"/>
                <w:b w:val="0"/>
                <w:bCs w:val="0"/>
                <w:color w:val="000000"/>
                <w:sz w:val="24"/>
                <w:szCs w:val="24"/>
                <w:shd w:val="clear" w:color="auto" w:fill="FFFFFF"/>
              </w:rPr>
              <w:t>Standards Board.</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Law, Qualifying Law Degrees (QLD): </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The Solicitors Regulation Authority and the Bar Standards Board provide that the maximum number of attempts permitted for each of the Foundations of Legal Knowledge within a Qualifying Law Degree (QLD) is normally 3. Therefore, contrary to the Undergraduate Regulations, the maximum number of attempts in the Core modules is 3 for any student wishing to have their LLB recognised as a QLD. </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 </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Law, Qualifying Law Degrees (QLD): </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The Solicitors Regulation Authority and the Bar Standards Board provide that no LLB student may be compensated for more than one of the Foundations of Legal Knowledge over the degree as a whole for a QLD. Therefore, contrary to the Undergraduate Regulations, compensation will only be permitted exceptionally in relation to any Core module of the degree.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LLB has been designed for those who may wish to pursue a career in the legal profession by providing an opportunity to meet the requirement of the professional bodies for the academic stage of legal education. This is achieved by the incorporation of the Foundations of Legal Knowledge as compulsory core modules on the Course. In order to develop legal proficiency, we offer a range of legal specialisms in the second (Level 5) and final (Level 6) year.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LLB allows students to develop transferable employability skills, which means it is also appropriate for those who may wish to pursue careers not only the legal sector but also in other professions, thus providing a wide range of career opportunities. Students take part in the three tiers of the Future Skills Programme of Kingston University.</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All students also have the option of studying abroad or working for a year between Levels 5 and 6.</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programme prioritises inclusion and diversity, and students are provided with a very high level of support so that they can achieve their potential. This support is not only towards academic achievement but also in developing key skills for confidence and employability.</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knowledge of the institutions within which that law is administered</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Develop appropriate problem-solving techniques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ICT to present text/numerical information and images. Be able to make appropriate use of electronic communication. Produce a document that incorporates and combines different types of information. Search for, retrieve and store information using ICT resources. Use on-line communications systems, including the learning management system, to obtain and send information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Acquire intellectual and practical skills needed to research the law on specific matters and to analyse both statute and case law, to apply it to the solution of legal problems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Undertake systematic management of complex factual information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Numeracy: Collect information from primary and secondary sources selectively. Read, select, extract and collate information from written, spoken or other appropriate sources. Evaluate and present information in suitable formats. Be able to appreciate issues of selection, accuracy and uncertainty in the collection and analysis of information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Understand the doctrines and principles which underpin the specialised areas of law which they have chosen to study, and appreciate the social and other pressures that shape the development of the law</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Construct a logical argument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Contribute effectively to group discussionMake a presentation Produce written materials in a variety of formats using the English language at all times with scrupulous care and accuracyIncorporate tables, charts, graphs or diagrams into documents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Understand the fundamental doctrines and principles which underpin the law of England and Wales; demonstrate a knowledge of the sources of that law, and how it is made and developed</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Develop the capacity for abstract manipulation of complex ideas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Be an effective and communicative member of a team. Work as part of a team. Review and evaluate progress of groups and collective performance. Identify ways of improving the performance of groups and their own contribution to groups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Show the interpersonal and time management skills required to collaborate with colleagues to achieve organisational goals (Professional Placement route)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awareness of the structure and function of the employing company/organization in relation to the scientific professional environment (Professional Placement route)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Communicate effectively both orally and in writing by discussing and reflecting on their experience of working in a professional environment (Professional Placement route)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All students are provided with the University regulations and specific additions that are sometimes required for accreditation by outside bodies (e.g. professional or statutory bodies that confer professional accreditation). Full details of each module will be provided in module descriptors and in the module canvas pages.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Note: As per </w:t>
      </w:r>
      <w:hyperlink r:id="rId11" w:anchor="blockid21000" w:history="1">
        <w:r w:rsidRPr="2030048C">
          <w:rPr>
            <w:rFonts w:ascii="Arial" w:eastAsia="Arial" w:hAnsi="Arial" w:cs="Arial"/>
            <w:color w:val="000000" w:themeColor="text1" w:themeShade="FF" w:themeTint="FF"/>
            <w:sz w:val="24"/>
            <w:szCs w:val="24"/>
          </w:rPr>
          <w:t>GR5</w:t>
        </w:r>
      </w:hyperlink>
      <w:r w:rsidRPr="2030048C">
        <w:rPr>
          <w:rFonts w:ascii="Arial" w:eastAsia="Arial" w:hAnsi="Arial" w:cs="Arial"/>
          <w:color w:val="000000" w:themeColor="text1" w:themeShade="FF" w:themeTint="FF"/>
          <w:sz w:val="24"/>
          <w:szCs w:val="24"/>
        </w:rPr>
        <w:t xml:space="preserve"> within the general regulations, the University aims to ensure that all option modules listed below are delivered. However, for various reasons, such as demand, the availability of option modules may vary from year to year or between teaching blocks. Students will be informed of the availability of option modules through the Online Module Selection process.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Future Skills requirements are embedded as follows: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Navigate is embedded into LL4305 English Legal System, Skills &amp; Ethics.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Explore is embedded into LL5310 Exploring EU Law.</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Future Skills Apply module is delivered at Level 6.</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LLB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Law</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LLB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Law</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Constitutional and Administrative Law</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LL4306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English Legal System, Skills &amp; Ethics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LL4305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Law of Contract</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LL4302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Law of Tort</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LL4304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LLB (Hons)</w:t>
            </w:r>
            <w:r w:rsidRPr="2030048C">
              <w:rPr>
                <w:rFonts w:ascii="Arial" w:eastAsia="Arial" w:hAnsi="Arial" w:cs="Arial"/>
                <w:b/>
                <w:bCs/>
                <w:lang w:val="en-GB"/>
              </w:rPr>
              <w:t xml:space="preserve"> </w:t>
            </w:r>
            <w:r w:rsidRPr="2030048C">
              <w:rPr>
                <w:rFonts w:ascii="Arial" w:eastAsia="Arial" w:hAnsi="Arial" w:cs="Arial"/>
                <w:b/>
                <w:bCs/>
                <w:lang w:val="en-GB"/>
              </w:rPr>
              <w:t>Law</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Commercial Law</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LL5306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Criminal Law</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LL5302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Exploring EU Law</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LL5310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Land Law</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LL5301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LLB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Law</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Equity and Trusts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LL6187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37361428"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2CC13E4" w14:textId="65830FDC">
            <w:pPr>
              <w:rPr>
                <w:rFonts w:ascii="Arial" w:eastAsia="Arial" w:hAnsi="Arial" w:cs="Arial"/>
                <w:sz w:val="24"/>
                <w:szCs w:val="24"/>
              </w:rPr>
            </w:pPr>
            <w:r w:rsidRPr="7AD52F4D" w:rsidR="27BD9679">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1B06CDD" w14:textId="5C2DB6F3">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698EAC" w14:textId="08ED9FFD">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7C4D117" w14:textId="533501F2">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893D0C5" w14:textId="32FD975D">
            <w:pPr>
              <w:jc w:val="center"/>
              <w:rPr>
                <w:rFonts w:ascii="Arial" w:eastAsia="Arial" w:hAnsi="Arial" w:cs="Arial"/>
                <w:sz w:val="24"/>
                <w:szCs w:val="24"/>
              </w:rPr>
            </w:pP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8ECE466" w14:textId="0E0680C0">
            <w:pPr>
              <w:jc w:val="center"/>
              <w:rPr>
                <w:rFonts w:ascii="Arial" w:eastAsia="Arial" w:hAnsi="Arial" w:cs="Arial"/>
                <w:sz w:val="24"/>
                <w:szCs w:val="24"/>
              </w:rPr>
            </w:pP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68E0DD" w14:textId="1BB1B27E">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0B40476" w14:textId="1C37987F">
            <w:pPr>
              <w:jc w:val="center"/>
              <w:rPr>
                <w:rFonts w:ascii="Arial" w:eastAsia="Arial" w:hAnsi="Arial" w:cs="Arial"/>
                <w:sz w:val="24"/>
                <w:szCs w:val="24"/>
              </w:rPr>
            </w:pPr>
          </w:p>
        </w:tc>
      </w:tr>
      <w:tr w14:paraId="48931149"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A0BF11B" w14:textId="7E05B115">
            <w:pPr>
              <w:rPr>
                <w:rFonts w:ascii="Arial" w:eastAsia="Arial" w:hAnsi="Arial" w:cs="Arial"/>
                <w:sz w:val="24"/>
                <w:szCs w:val="24"/>
                <w:lang w:val="en-GB"/>
              </w:rPr>
            </w:pPr>
            <w:r w:rsidRPr="2030048C" w:rsidR="073AEBF5">
              <w:rPr>
                <w:rFonts w:ascii="Arial" w:eastAsia="Arial" w:hAnsi="Arial" w:cs="Arial"/>
                <w:sz w:val="24"/>
                <w:szCs w:val="24"/>
                <w:lang w:val="en-GB"/>
              </w:rPr>
              <w:t>Alternative Dispute Resolution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10CE861"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LL6609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9BE22D9"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102E73B"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9F14E4F"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4CC5E4"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E3D87D"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26FCFD" w14:textId="24C12581">
            <w:pPr>
              <w:jc w:val="center"/>
              <w:rPr>
                <w:rFonts w:ascii="Arial" w:eastAsia="Arial" w:hAnsi="Arial" w:cs="Arial"/>
                <w:sz w:val="24"/>
                <w:szCs w:val="24"/>
              </w:rPr>
            </w:pPr>
          </w:p>
        </w:tc>
      </w:tr>
      <w:tr w14:paraId="4893114A"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Company Law</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LL6192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4B"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Family and Child Law</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LL6002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4C"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Research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LL6600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4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Technology, Intellectual Property and Innovation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LL6199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without completing the full 120 credits but have successfully completed 60 credits at level 6 or above are eligible for the award of an Ordinary Degree. </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LLB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Law with Professional Placement</w:t>
      </w:r>
    </w:p>
    <w:p w:rsidR="008B5CAF" w:rsidRPr="008B5CAF" w:rsidP="008B5CAF" w14:textId="77777777">
      <w:pPr>
        <w:rPr>
          <w:rFonts w:eastAsia="Arial"/>
        </w:rPr>
      </w:pPr>
    </w:p>
    <w:p w:rsidR="035B6837" w:rsidP="2030048C"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B"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0F3F3B7">
            <w:pPr>
              <w:rPr>
                <w:rFonts w:ascii="Arial" w:eastAsia="Arial" w:hAnsi="Arial" w:cs="Arial"/>
              </w:rPr>
            </w:pPr>
            <w:r w:rsidRPr="66934EB1">
              <w:rPr>
                <w:rFonts w:ascii="Arial" w:eastAsia="Arial" w:hAnsi="Arial" w:cs="Arial"/>
                <w:b/>
                <w:bCs/>
              </w:rPr>
              <w:t>Level 5</w:t>
            </w:r>
          </w:p>
        </w:tc>
      </w:tr>
      <w:tr w14:paraId="1514BE76"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73F14FE4">
            <w:pPr>
              <w:rPr>
                <w:rFonts w:ascii="Arial" w:eastAsia="Arial" w:hAnsi="Arial" w:cs="Arial"/>
                <w:lang w:val="en-GB"/>
              </w:rPr>
            </w:pPr>
            <w:r w:rsidRPr="2030048C">
              <w:rPr>
                <w:rFonts w:ascii="Arial" w:eastAsia="Arial" w:hAnsi="Arial" w:cs="Arial"/>
                <w:b/>
                <w:bCs/>
                <w:lang w:val="en-GB"/>
              </w:rPr>
              <w:t>LLB (Hons)</w:t>
            </w:r>
            <w:r w:rsidRPr="2030048C">
              <w:rPr>
                <w:rFonts w:ascii="Arial" w:eastAsia="Arial" w:hAnsi="Arial" w:cs="Arial"/>
                <w:b/>
                <w:bCs/>
                <w:lang w:val="en-GB"/>
              </w:rPr>
              <w:t xml:space="preserve"> </w:t>
            </w:r>
            <w:r w:rsidRPr="2030048C">
              <w:rPr>
                <w:rFonts w:ascii="Arial" w:eastAsia="Arial" w:hAnsi="Arial" w:cs="Arial"/>
                <w:b/>
                <w:bCs/>
                <w:lang w:val="en-GB"/>
              </w:rPr>
              <w:t>Law with Professional Placement</w:t>
            </w:r>
          </w:p>
        </w:tc>
      </w:tr>
      <w:tr w14:paraId="6F03CED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8"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Year-Long Work Placement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BH5030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textId="7597772D">
      <w:pPr>
        <w:rPr>
          <w:rFonts w:ascii="Arial" w:eastAsia="Arial" w:hAnsi="Arial" w:cs="Arial"/>
          <w:color w:val="0070C0"/>
          <w:sz w:val="24"/>
          <w:szCs w:val="24"/>
        </w:rPr>
      </w:pPr>
    </w:p>
    <w:p w:rsidR="3891A81D" w:rsidRPr="2030048C" w:rsidP="2030048C"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For students on the placement route, the successful completion of BH5030 Professional Placement will be required for the award of the professional placement credits. If a student does not secure a placement or does not complete the professional placement, they will automatically be transferred to the without placement route.</w:t>
      </w:r>
    </w:p>
    <w:p w:rsidR="66934EB1" w:rsidP="2030048C" w14:textId="5C84D198">
      <w:pPr>
        <w:rPr>
          <w:rFonts w:ascii="Arial" w:eastAsia="Arial" w:hAnsi="Arial" w:cs="Arial"/>
          <w:color w:val="000000" w:themeColor="text1" w:themeShade="FF" w:themeTint="FF"/>
          <w:sz w:val="24"/>
          <w:szCs w:val="24"/>
          <w:lang w:val="en-GB"/>
        </w:rPr>
      </w:pPr>
    </w:p>
    <w:p w:rsidR="66934EB1" w:rsidP="540725A5" w14:textId="65ECFB32">
      <w:pPr>
        <w:rPr>
          <w:rFonts w:ascii="Arial" w:eastAsia="Arial" w:hAnsi="Arial" w:cs="Arial"/>
          <w:color w:val="FF0000"/>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jc w:val="both"/>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4"/>
        </w:numPr>
        <w:ind w:left="720" w:hanging="360"/>
        <w:jc w:val="both"/>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4"/>
        </w:numPr>
        <w:ind w:left="720" w:hanging="360"/>
        <w:jc w:val="both"/>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4"/>
        </w:numPr>
        <w:ind w:left="720" w:hanging="360"/>
        <w:jc w:val="both"/>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4"/>
        </w:numPr>
        <w:ind w:left="720" w:hanging="360"/>
        <w:jc w:val="both"/>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 xml:space="preserve">Bar Standards Board (BSB) accreditation </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Solicitors Regulation Authority (SRA)</w:t>
      </w:r>
    </w:p>
    <w:p w:rsidRPr="2030048C" w:rsidP="2030048C">
      <w:pPr>
        <w:rPr>
          <w:rFonts w:ascii="Arial" w:eastAsia="Arial" w:hAnsi="Arial" w:cs="Arial"/>
          <w:sz w:val="24"/>
          <w:szCs w:val="24"/>
        </w:rPr>
      </w:pPr>
      <w:r w:rsidRPr="2030048C">
        <w:rPr>
          <w:rFonts w:ascii="Arial" w:eastAsia="Arial" w:hAnsi="Arial" w:cs="Arial"/>
          <w:sz w:val="24"/>
          <w:szCs w:val="24"/>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319"/>
        <w:gridCol w:w="276"/>
        <w:gridCol w:w="1"/>
        <w:gridCol w:w="667"/>
        <w:gridCol w:w="1"/>
        <w:gridCol w:w="667"/>
        <w:gridCol w:w="1"/>
        <w:gridCol w:w="667"/>
        <w:gridCol w:w="1"/>
        <w:gridCol w:w="666"/>
        <w:gridCol w:w="1"/>
        <w:gridCol w:w="1"/>
        <w:gridCol w:w="667"/>
        <w:gridCol w:w="1"/>
        <w:gridCol w:w="707"/>
        <w:gridCol w:w="1"/>
        <w:gridCol w:w="667"/>
        <w:gridCol w:w="1"/>
        <w:gridCol w:w="667"/>
        <w:gridCol w:w="1"/>
        <w:gridCol w:w="665"/>
        <w:gridCol w:w="2"/>
        <w:gridCol w:w="1"/>
        <w:gridCol w:w="667"/>
        <w:gridCol w:w="1"/>
        <w:gridCol w:w="694"/>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8"/>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11"/>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LL4304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LL4305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LL4306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LL4302</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LL5310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BH5030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LL5302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LL5301</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LL5306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LL6187</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sz w:val="24"/>
          <w:szCs w:val="24"/>
        </w:rPr>
        <w:t>September intake only</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multilevel"/>
    <w:tmpl w:val="74989B0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kingston.ac.uk/aboutkingstonuniversity/howtheuniversityworks/policiesandregulations/" TargetMode="External"/><Relationship Id="rId6" Type="http://schemas.openxmlformats.org/officeDocument/2006/relationships/customXml" Target="../customXml/item3.xml"/><Relationship Id="rId10" Type="http://schemas.openxmlformats.org/officeDocument/2006/relationships/footer" Target="footer1.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F7553DBB-A167-453B-9622-0135C7D77EB4}"/>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y fmtid="{D5CDD505-2E9C-101B-9397-08002B2CF9AE}" pid="16" name="xd_Signature">
    <vt:bool>false</vt:bool>
  </property>
  <property fmtid="{D5CDD505-2E9C-101B-9397-08002B2CF9AE}" pid="17" name="xd_ProgID">
    <vt:lpwstr/>
  </property>
  <property fmtid="{D5CDD505-2E9C-101B-9397-08002B2CF9AE}" pid="18" name="_SourceUrl">
    <vt:lpwstr/>
  </property>
  <property fmtid="{D5CDD505-2E9C-101B-9397-08002B2CF9AE}" pid="19" name="_SharedFileIndex">
    <vt:lpwstr/>
  </property>
  <property fmtid="{D5CDD505-2E9C-101B-9397-08002B2CF9AE}" pid="20" name="TemplateUrl">
    <vt:lpwstr/>
  </property>
  <property fmtid="{D5CDD505-2E9C-101B-9397-08002B2CF9AE}" pid="21" name="ComplianceAssetId">
    <vt:lpwstr/>
  </property>
  <property fmtid="{D5CDD505-2E9C-101B-9397-08002B2CF9AE}" pid="22" name="_ExtendedDescription">
    <vt:lpwstr/>
  </property>
  <property fmtid="{D5CDD505-2E9C-101B-9397-08002B2CF9AE}" pid="23" name="TriggerFlowInfo">
    <vt:lpwstr/>
  </property>
</Properties>
</file>