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UFSOC1SOC02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L300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UFSOC1SOC55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British Sociological Association (BSA) is the Professional body of reference.  However, the BSA does not have any regulatory powers in relation to degree programmes.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the request to retain two option modules at level 6</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Introduce students to sociology as an academic discipline.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students with a broad theoretical awareness and critical understanding of key sociological concepts, theories and perspectives.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Foster an understanding of the interdisciplinary nature of sociology, and its relationship to other social sciences and humanities research and theory.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build confidence and skills in researching and understanding social issues and their contexts and writing and presenting sociological academic arguments in a range of formats.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Equip students with core competencies in social research, afford them with opportunities to practice a range of methods, and enable them to conduct independent research and analysis.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students knowledge and understanding of the relationship between theory and empirical research and data, and the skills necessary to critically evaluate this relationship.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Encourage students to critically reflect on their own lives and apply sociological perspectives to analyse and explore their experiences and real-world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Establish a sound foundation in key transferable skills from which students are enabled to develop strong career paths in graduate opportunities, professional occupations, and postgraduate study.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analytical account of a range of social, public and civic issues and polices in relation to social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competing explanations and draw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sociological topics with appreciation of theory, evidence and relevance to current debates and to present the conclusions in a variety of appropriate sociological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evaluate a range of concepts and theoretical approaches within sociology and evaluate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theories with respect to reasoning and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ethical implications of social research in a variety of applied research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analyse the distinctive role of social theory in providing coherent descriptions of social reality.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synthesize the results of information and evidence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Investigate sociologically informed explanations.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relationship between sociological arguments and evidence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the merits of competing explanations of human behaviour, social situations and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research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a range of research strategies and methods and assesses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Summarize and explain the findings of empirical sociological research, including a critical assessment of the methodological frameworks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processes that underpin social change and social stability in a variety of social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appropriate sociologically informed questions.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a range of social structures and their relationship to individual and groups.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comment on the value of sociological work with regard to social, public and civic policy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the issues and problems involved in the use of comparison in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w:t>
      </w:r>
      <w:r w:rsidRPr="2030048C">
        <w:rPr>
          <w:rFonts w:ascii="Arial" w:eastAsia="Arial" w:hAnsi="Arial" w:cs="Arial"/>
          <w:color w:val="000000" w:themeColor="text1" w:themeShade="FF" w:themeTint="FF"/>
          <w:sz w:val="24"/>
          <w:szCs w:val="24"/>
        </w:rPr>
        <w:t>mode, and leads to the award of BSc (Hons) Sociology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w:t>
      </w:r>
      <w:r w:rsidRPr="2030048C">
        <w:rPr>
          <w:rFonts w:ascii="Arial" w:eastAsia="Arial" w:hAnsi="Arial" w:cs="Arial"/>
          <w:color w:val="000000" w:themeColor="text1" w:themeShade="FF" w:themeTint="FF"/>
          <w:sz w:val="24"/>
          <w:szCs w:val="24"/>
        </w:rPr>
        <w:t xml:space="preserve"> normally at level 4 with A-level or equivalent qualif</w:t>
      </w:r>
      <w:r w:rsidRPr="2030048C">
        <w:rPr>
          <w:rFonts w:ascii="Arial" w:eastAsia="Arial" w:hAnsi="Arial" w:cs="Arial"/>
          <w:color w:val="000000" w:themeColor="text1" w:themeShade="FF" w:themeTint="FF"/>
          <w:sz w:val="24"/>
          <w:szCs w:val="24"/>
        </w:rPr>
        <w:t xml:space="preserve">ications. </w:t>
      </w:r>
      <w:r w:rsidRPr="2030048C">
        <w:rPr>
          <w:rFonts w:ascii="Arial" w:eastAsia="Arial" w:hAnsi="Arial" w:cs="Arial"/>
          <w:color w:val="000000" w:themeColor="text1" w:themeShade="FF" w:themeTint="FF"/>
          <w:sz w:val="24"/>
          <w:szCs w:val="24"/>
        </w:rPr>
        <w:t xml:space="preserve">Transfer from a similar programme is possible at level 5 with passes in comparable level 4 modules – but is at the </w:t>
      </w:r>
      <w:r w:rsidRPr="2030048C">
        <w:rPr>
          <w:rFonts w:ascii="Arial" w:eastAsia="Arial" w:hAnsi="Arial" w:cs="Arial"/>
          <w:color w:val="000000" w:themeColor="text1" w:themeShade="FF" w:themeTint="FF"/>
          <w:sz w:val="24"/>
          <w:szCs w:val="24"/>
        </w:rPr>
        <w:t xml:space="preserve">discretion of the course team. </w:t>
      </w:r>
      <w:r w:rsidRPr="2030048C">
        <w:rPr>
          <w:rFonts w:ascii="Arial" w:eastAsia="Arial" w:hAnsi="Arial" w:cs="Arial"/>
          <w:color w:val="000000" w:themeColor="text1" w:themeShade="FF" w:themeTint="FF"/>
          <w:sz w:val="24"/>
          <w:szCs w:val="24"/>
        </w:rPr>
        <w:t>Intake is normally in Septembe</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British Sociological Association (BSA) is the Professional body of reference.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However, the BSA does not have any regulatory powers in relation to degree programmes.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w:t>
      </w:r>
      <w:r w:rsidRPr="2030048C">
        <w:rPr>
          <w:rFonts w:ascii="Arial" w:eastAsia="Arial" w:hAnsi="Arial" w:cs="Arial"/>
          <w:color w:val="000000" w:themeColor="text1" w:themeShade="FF" w:themeTint="FF"/>
          <w:sz w:val="24"/>
          <w:szCs w:val="24"/>
        </w:rPr>
        <w:t xml:space="preserve"> and community </w:t>
      </w:r>
      <w:r w:rsidRPr="2030048C">
        <w:rPr>
          <w:rFonts w:ascii="Arial" w:eastAsia="Arial" w:hAnsi="Arial" w:cs="Arial"/>
          <w:color w:val="000000" w:themeColor="text1" w:themeShade="FF" w:themeTint="FF"/>
          <w:sz w:val="24"/>
          <w:szCs w:val="24"/>
        </w:rPr>
        <w:t xml:space="preserve">placements </w:t>
      </w:r>
      <w:r w:rsidRPr="2030048C">
        <w:rPr>
          <w:rFonts w:ascii="Arial" w:eastAsia="Arial" w:hAnsi="Arial" w:cs="Arial"/>
          <w:color w:val="000000" w:themeColor="text1" w:themeShade="FF" w:themeTint="FF"/>
          <w:sz w:val="24"/>
          <w:szCs w:val="24"/>
        </w:rPr>
        <w:t xml:space="preserve">and residencies </w:t>
      </w:r>
      <w:r w:rsidRPr="2030048C">
        <w:rPr>
          <w:rFonts w:ascii="Arial" w:eastAsia="Arial" w:hAnsi="Arial" w:cs="Arial"/>
          <w:color w:val="000000" w:themeColor="text1" w:themeShade="FF" w:themeTint="FF"/>
          <w:sz w:val="24"/>
          <w:szCs w:val="24"/>
        </w:rPr>
        <w:t>are actively encouraged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Guidance is provided to help students </w:t>
      </w:r>
      <w:r w:rsidRPr="2030048C">
        <w:rPr>
          <w:rFonts w:ascii="Arial" w:eastAsia="Arial" w:hAnsi="Arial" w:cs="Arial"/>
          <w:color w:val="000000" w:themeColor="text1" w:themeShade="FF" w:themeTint="FF"/>
          <w:sz w:val="24"/>
          <w:szCs w:val="24"/>
        </w:rPr>
        <w:t>source and secure such</w:t>
      </w:r>
      <w:r w:rsidRPr="2030048C">
        <w:rPr>
          <w:rFonts w:ascii="Arial" w:eastAsia="Arial" w:hAnsi="Arial" w:cs="Arial"/>
          <w:color w:val="000000" w:themeColor="text1" w:themeShade="FF" w:themeTint="FF"/>
          <w:sz w:val="24"/>
          <w:szCs w:val="24"/>
        </w:rPr>
        <w:t xml:space="preserve"> opportunities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Placements/residences</w:t>
      </w:r>
      <w:r w:rsidRPr="2030048C">
        <w:rPr>
          <w:rFonts w:ascii="Arial" w:eastAsia="Arial" w:hAnsi="Arial" w:cs="Arial"/>
          <w:color w:val="000000" w:themeColor="text1" w:themeShade="FF" w:themeTint="FF"/>
          <w:sz w:val="24"/>
          <w:szCs w:val="24"/>
        </w:rPr>
        <w:t xml:space="preserve"> allow students to reflect upon their own personal experience of working in an</w:t>
      </w:r>
      <w:r w:rsidRPr="2030048C">
        <w:rPr>
          <w:rFonts w:ascii="Arial" w:eastAsia="Arial" w:hAnsi="Arial" w:cs="Arial"/>
          <w:color w:val="000000" w:themeColor="text1" w:themeShade="FF" w:themeTint="FF"/>
          <w:sz w:val="24"/>
          <w:szCs w:val="24"/>
        </w:rPr>
        <w:t xml:space="preserve"> applied setting, to focus on aspects of this experience that they can clearly relate to theoretical concepts and to evaluate the relationship between theory and practice.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 xml:space="preserve">evel 6 students can undertake the module </w:t>
      </w:r>
      <w:r w:rsidRPr="2030048C">
        <w:rPr>
          <w:rFonts w:ascii="Arial" w:eastAsia="Arial" w:hAnsi="Arial" w:cs="Arial"/>
          <w:color w:val="000000" w:themeColor="text1" w:themeShade="FF" w:themeTint="FF"/>
          <w:sz w:val="24"/>
          <w:szCs w:val="24"/>
        </w:rPr>
        <w:t>SO6037 Applied Social Science: Work and Volunteering </w:t>
      </w:r>
      <w:r w:rsidRPr="2030048C">
        <w:rPr>
          <w:rFonts w:ascii="Arial" w:eastAsia="Arial" w:hAnsi="Arial" w:cs="Arial"/>
          <w:color w:val="000000" w:themeColor="text1" w:themeShade="FF" w:themeTint="FF"/>
          <w:sz w:val="24"/>
          <w:szCs w:val="24"/>
        </w:rPr>
        <w:t>that specif</w:t>
      </w:r>
      <w:r w:rsidRPr="2030048C">
        <w:rPr>
          <w:rFonts w:ascii="Arial" w:eastAsia="Arial" w:hAnsi="Arial" w:cs="Arial"/>
          <w:color w:val="000000" w:themeColor="text1" w:themeShade="FF" w:themeTint="FF"/>
          <w:sz w:val="24"/>
          <w:szCs w:val="24"/>
        </w:rPr>
        <w:t xml:space="preserve">ically </w:t>
      </w:r>
      <w:r w:rsidRPr="2030048C">
        <w:rPr>
          <w:rFonts w:ascii="Arial" w:eastAsia="Arial" w:hAnsi="Arial" w:cs="Arial"/>
          <w:color w:val="000000" w:themeColor="text1" w:themeShade="FF" w:themeTint="FF"/>
          <w:sz w:val="24"/>
          <w:szCs w:val="24"/>
        </w:rPr>
        <w:t xml:space="preserve">includes a sociological analysis </w:t>
      </w:r>
      <w:r w:rsidRPr="2030048C">
        <w:rPr>
          <w:rFonts w:ascii="Arial" w:eastAsia="Arial" w:hAnsi="Arial" w:cs="Arial"/>
          <w:color w:val="000000" w:themeColor="text1" w:themeShade="FF" w:themeTint="FF"/>
          <w:sz w:val="24"/>
          <w:szCs w:val="24"/>
        </w:rPr>
        <w:t xml:space="preserve">within a work </w:t>
      </w:r>
      <w:r w:rsidRPr="2030048C">
        <w:rPr>
          <w:rFonts w:ascii="Arial" w:eastAsia="Arial" w:hAnsi="Arial" w:cs="Arial"/>
          <w:color w:val="000000" w:themeColor="text1" w:themeShade="FF" w:themeTint="FF"/>
          <w:sz w:val="24"/>
          <w:szCs w:val="24"/>
        </w:rPr>
        <w:t>or community setting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and</w:t>
      </w:r>
      <w:r w:rsidRPr="2030048C">
        <w:rPr>
          <w:rFonts w:ascii="Arial" w:eastAsia="Arial" w:hAnsi="Arial" w:cs="Arial"/>
          <w:color w:val="000000" w:themeColor="text1" w:themeShade="FF" w:themeTint="FF"/>
          <w:sz w:val="24"/>
          <w:szCs w:val="24"/>
        </w:rPr>
        <w:t>, where appropriate,</w:t>
      </w:r>
      <w:r w:rsidRPr="2030048C">
        <w:rPr>
          <w:rFonts w:ascii="Arial" w:eastAsia="Arial" w:hAnsi="Arial" w:cs="Arial"/>
          <w:color w:val="000000" w:themeColor="text1" w:themeShade="FF" w:themeTint="FF"/>
          <w:sz w:val="24"/>
          <w:szCs w:val="24"/>
        </w:rPr>
        <w:t xml:space="preserve"> specific additions that are sometimes required for accreditation by outside bodies (e.g. professi</w:t>
      </w:r>
      <w:r w:rsidRPr="2030048C">
        <w:rPr>
          <w:rFonts w:ascii="Arial" w:eastAsia="Arial" w:hAnsi="Arial" w:cs="Arial"/>
          <w:color w:val="000000" w:themeColor="text1" w:themeShade="FF" w:themeTint="FF"/>
          <w:sz w:val="24"/>
          <w:szCs w:val="24"/>
        </w:rPr>
        <w:t>onal or statutory bodies that confer profession</w:t>
      </w:r>
      <w:r w:rsidRPr="2030048C">
        <w:rPr>
          <w:rFonts w:ascii="Arial" w:eastAsia="Arial" w:hAnsi="Arial" w:cs="Arial"/>
          <w:color w:val="000000" w:themeColor="text1" w:themeShade="FF" w:themeTint="FF"/>
          <w:sz w:val="24"/>
          <w:szCs w:val="24"/>
        </w:rPr>
        <w:t xml:space="preserve">al accreditation). </w:t>
      </w:r>
      <w:r w:rsidRPr="2030048C">
        <w:rPr>
          <w:rFonts w:ascii="Arial" w:eastAsia="Arial" w:hAnsi="Arial" w:cs="Arial"/>
          <w:color w:val="000000" w:themeColor="text1" w:themeShade="FF" w:themeTint="FF"/>
          <w:sz w:val="24"/>
          <w:szCs w:val="24"/>
        </w:rPr>
        <w:t>Full details of each module will be provided in module descriptors</w:t>
      </w:r>
      <w:r w:rsidRPr="2030048C">
        <w:rPr>
          <w:rFonts w:ascii="Arial" w:eastAsia="Arial" w:hAnsi="Arial" w:cs="Arial"/>
          <w:color w:val="000000" w:themeColor="text1" w:themeShade="FF" w:themeTint="FF"/>
          <w:sz w:val="24"/>
          <w:szCs w:val="24"/>
        </w:rPr>
        <w:t xml:space="preserve"> and on Canvas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Specific subject specific content within the core modules </w:t>
      </w:r>
      <w:r w:rsidRPr="2030048C">
        <w:rPr>
          <w:rFonts w:ascii="Arial" w:eastAsia="Arial" w:hAnsi="Arial" w:cs="Arial"/>
          <w:color w:val="000000" w:themeColor="text1" w:themeShade="FF" w:themeTint="FF"/>
          <w:sz w:val="24"/>
          <w:szCs w:val="24"/>
        </w:rPr>
        <w:t>may vary year on year depending on staff availability</w:t>
      </w:r>
      <w:r w:rsidRPr="2030048C">
        <w:rPr>
          <w:rFonts w:ascii="Arial" w:eastAsia="Arial" w:hAnsi="Arial" w:cs="Arial"/>
          <w:color w:val="000000" w:themeColor="text1" w:themeShade="FF" w:themeTint="FF"/>
          <w:sz w:val="24"/>
          <w:szCs w:val="24"/>
        </w:rPr>
        <w:t> and reflecting </w:t>
      </w:r>
      <w:r w:rsidRPr="2030048C">
        <w:rPr>
          <w:rFonts w:ascii="Arial" w:eastAsia="Arial" w:hAnsi="Arial" w:cs="Arial"/>
          <w:color w:val="000000" w:themeColor="text1" w:themeShade="FF" w:themeTint="FF"/>
          <w:sz w:val="24"/>
          <w:szCs w:val="24"/>
        </w:rPr>
        <w:t>staff research specialism and expertise, thereby ensuring that students are kept abreast of the latest developments in the field.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Students are encouraged to develop their knowledge and participation of 'real world' Sociology throughout the programme, and opportunities are built in at each Level to allow for such engagement.  This culminates in Level 6 where students are enabled to develop their dedicated area of interest through either, undertaking the Dissertation (SO6029) OR to undertake an Applied Social Science Work/ Volunteering Placement in SO6037.</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Classical Social Theory in a Contemporary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Order and Social Control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Securing Human Rights: Contemporary Themes and Issues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PO5004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choose either the Dissertation or the Applied Social Science module.  They also take the 90 credits from the list of remaining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0"/>
        <w:gridCol w:w="245"/>
        <w:gridCol w:w="628"/>
        <w:gridCol w:w="628"/>
        <w:gridCol w:w="628"/>
        <w:gridCol w:w="645"/>
        <w:gridCol w:w="645"/>
        <w:gridCol w:w="645"/>
        <w:gridCol w:w="628"/>
        <w:gridCol w:w="628"/>
        <w:gridCol w:w="628"/>
        <w:gridCol w:w="628"/>
        <w:gridCol w:w="619"/>
        <w:gridCol w:w="6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21A90FA-D659-4F54-8540-5DF560969BD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