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Economics, 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*Foundation Year*</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Economics, 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Academic IELTS for UKVI 4.5 overall (minimum 5.0 in writing and no other skill less than 4.0). </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 xml:space="preserve">are provided on a separate </w:t>
            </w:r>
            <w:r w:rsidRPr="2030048C">
              <w:rPr>
                <w:rStyle w:val="normaltextrun"/>
                <w:rFonts w:ascii="Arial" w:eastAsia="Arial" w:hAnsi="Arial" w:cs="Arial"/>
                <w:b w:val="0"/>
                <w:bCs w:val="0"/>
                <w:color w:val="000000"/>
                <w:sz w:val="24"/>
                <w:szCs w:val="24"/>
                <w:shd w:val="clear" w:color="auto" w:fill="FFFFFF"/>
              </w:rPr>
              <w:t>spreadsheet maintained by both the validated partner and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w:t>
            </w:r>
            <w:r w:rsidRPr="158602C4">
              <w:rPr>
                <w:rStyle w:val="normaltextrun"/>
                <w:rFonts w:ascii="Arial" w:eastAsia="Arial" w:hAnsi="Arial" w:cs="Arial"/>
                <w:b w:val="0"/>
                <w:bCs w:val="0"/>
                <w:color w:val="000000" w:themeColor="text1" w:themeShade="FF" w:themeTint="FF"/>
                <w:sz w:val="24"/>
                <w:szCs w:val="24"/>
              </w:rPr>
              <w:t>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for the demands of undergraduate study by building on the knowledge gained and academic skills acquired in earlier studies in their home country, enabling them to enter undergraduate courses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UK Higher Education teaching styles and to provide students with opportunities to acquire, through the teaching medium of English, a sound and appropriate knowledge base in their chosen discipline.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to acquire the skills in the collection, analysis, interpretation and understanding of appropriate data and information in preparation for undergraduate courses in the areas of business, economics,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students’ academic English language, critical thinking, and reading and investigating skills so that they are prepared to study at undergraduate level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support students in the acquisition of practical, employability and transferable skills to be utilised in students’ future studies and career.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development of a range of communication and information technology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engender in students an awareness of their potential to contribute to the international academic community of Kingston University.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with a range of transferable skills including the use of information technology and the virtual learning environment (VLE) to obtain, process and use information for effective learning at Kingston University.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three-term </w:t>
      </w:r>
      <w:r w:rsidRPr="2030048C">
        <w:rPr>
          <w:rStyle w:val="normaltextrun"/>
          <w:rFonts w:ascii="Arial" w:hAnsi="Arial" w:cs="Arial"/>
          <w:color w:val="000000" w:themeColor="text1"/>
          <w:sz w:val="24"/>
          <w:szCs w:val="24"/>
          <w:shd w:val="clear" w:color="auto" w:fill="FFFFFF"/>
        </w:rPr>
        <w:t xml:space="preserve">(30 weeks) </w:t>
      </w:r>
      <w:r w:rsidRPr="2030048C">
        <w:rPr>
          <w:rStyle w:val="normaltextrun"/>
          <w:rFonts w:ascii="Arial" w:hAnsi="Arial" w:cs="Arial"/>
          <w:color w:val="000000" w:themeColor="text1"/>
          <w:sz w:val="24"/>
          <w:szCs w:val="24"/>
          <w:shd w:val="clear" w:color="auto" w:fill="FFFFFF"/>
        </w:rPr>
        <w:t>International Foundation Year (IFY) in International Business, Economics, Accounting and Finance is designed and structured to help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students acculturate and attain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needed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progress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to undergraduate level study in the areas of business, economics,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strength of the programme 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not just in the design and structure of the programme but also in the use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academic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employability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well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which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supports students’ effective transition to the rigour of academic life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overall structure and modules are thoughtfully designed 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offer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 xml:space="preserve">a </w:t>
      </w:r>
      <w:r w:rsidRPr="2030048C">
        <w:rPr>
          <w:rStyle w:val="normaltextrun"/>
          <w:rFonts w:ascii="Arial" w:hAnsi="Arial" w:cs="Arial"/>
          <w:color w:val="000000" w:themeColor="text1"/>
          <w:sz w:val="24"/>
          <w:szCs w:val="24"/>
          <w:shd w:val="clear" w:color="auto" w:fill="FFFFFF"/>
        </w:rPr>
        <w:t>holistic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puts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 a 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comparable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 admitted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via</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direct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entry.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International Foundation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(IFY)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has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been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designed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collaboration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with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create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course-specific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content that will prepare students for progression to relevant undergraduate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degree programmes and to avoid repetition in content 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ensures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contain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the right level of intellectual challenge and academic rigour</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successfully completing the Programme have the opportunity to gain admission to the first year of specified and relevant undergraduate degree courses at Kingston University. To achieve this outcome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have to </w:t>
      </w:r>
      <w:r w:rsidRPr="2030048C">
        <w:rPr>
          <w:rStyle w:val="normaltextrun"/>
          <w:rFonts w:ascii="Arial" w:hAnsi="Arial" w:cs="Arial"/>
          <w:color w:val="000000" w:themeColor="text1"/>
          <w:sz w:val="24"/>
          <w:szCs w:val="24"/>
          <w:shd w:val="clear" w:color="auto" w:fill="FFFFFF"/>
        </w:rPr>
        <w:t xml:space="preserve">meet </w:t>
      </w:r>
      <w:r w:rsidRPr="2030048C">
        <w:rPr>
          <w:rStyle w:val="normaltextrun"/>
          <w:rFonts w:ascii="Arial" w:hAnsi="Arial" w:cs="Arial"/>
          <w:color w:val="000000" w:themeColor="text1"/>
          <w:sz w:val="24"/>
          <w:szCs w:val="24"/>
          <w:shd w:val="clear" w:color="auto" w:fill="FFFFFF"/>
        </w:rPr>
        <w:t xml:space="preserve">or exceed progression </w:t>
      </w:r>
      <w:r w:rsidRPr="2030048C">
        <w:rPr>
          <w:rStyle w:val="normaltextrun"/>
          <w:rFonts w:ascii="Arial" w:hAnsi="Arial" w:cs="Arial"/>
          <w:color w:val="000000" w:themeColor="text1"/>
          <w:sz w:val="24"/>
          <w:szCs w:val="24"/>
          <w:shd w:val="clear" w:color="auto" w:fill="FFFFFF"/>
        </w:rPr>
        <w:t>requirements and conditions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agreed with </w:t>
      </w:r>
      <w:r w:rsidRPr="2030048C">
        <w:rPr>
          <w:rStyle w:val="normaltextrun"/>
          <w:rFonts w:ascii="Arial" w:hAnsi="Arial" w:cs="Arial"/>
          <w:color w:val="000000" w:themeColor="text1"/>
          <w:sz w:val="24"/>
          <w:szCs w:val="24"/>
          <w:shd w:val="clear" w:color="auto" w:fill="FFFFFF"/>
        </w:rPr>
        <w:t xml:space="preserve">Kingston University, </w:t>
      </w:r>
      <w:r w:rsidRPr="2030048C">
        <w:rPr>
          <w:rStyle w:val="normaltextrun"/>
          <w:rFonts w:ascii="Arial" w:hAnsi="Arial" w:cs="Arial"/>
          <w:color w:val="000000" w:themeColor="text1"/>
          <w:sz w:val="24"/>
          <w:szCs w:val="24"/>
          <w:shd w:val="clear" w:color="auto" w:fill="FFFFFF"/>
        </w:rPr>
        <w:t xml:space="preserve">and to satisfy, as required, the entry regulations of </w:t>
      </w:r>
      <w:r w:rsidRPr="2030048C">
        <w:rPr>
          <w:rStyle w:val="normaltextrun"/>
          <w:rFonts w:ascii="Arial" w:hAnsi="Arial" w:cs="Arial"/>
          <w:color w:val="000000" w:themeColor="text1"/>
          <w:sz w:val="24"/>
          <w:szCs w:val="24"/>
          <w:shd w:val="clear" w:color="auto" w:fill="FFFFFF"/>
        </w:rPr>
        <w:t xml:space="preserve">any relevant professional, </w:t>
      </w:r>
      <w:r w:rsidRPr="2030048C">
        <w:rPr>
          <w:rStyle w:val="normaltextrun"/>
          <w:rFonts w:ascii="Arial" w:hAnsi="Arial" w:cs="Arial"/>
          <w:color w:val="000000" w:themeColor="text1"/>
          <w:sz w:val="24"/>
          <w:szCs w:val="24"/>
          <w:shd w:val="clear" w:color="auto" w:fill="FFFFFF"/>
        </w:rPr>
        <w:t>statutory</w:t>
      </w:r>
      <w:r w:rsidRPr="2030048C">
        <w:rPr>
          <w:rStyle w:val="normaltextrun"/>
          <w:rFonts w:ascii="Arial" w:hAnsi="Arial" w:cs="Arial"/>
          <w:color w:val="000000" w:themeColor="text1"/>
          <w:sz w:val="24"/>
          <w:szCs w:val="24"/>
          <w:shd w:val="clear" w:color="auto" w:fill="FFFFFF"/>
        </w:rPr>
        <w:t xml:space="preserve"> and regulatory bodies (PSRBs)</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give examples of  current issues in international business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analyse relevant practices and strategies used in business organisations, making recommendations for decisions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academic research, evaluate contemporary discourse on a given issue, take and cogently defend own arguments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key business and economic theories, models and practices and their relation to contemporary real life business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concepts and theories to a range of real-world issues and assess their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Interpret business reports and data to evaluate the overall performance of a business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explain the key functional characteristics of business organisations in areas such as marketing, internal structures,  management, and financial  processes and how these impact on overall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contemporary issues confronting business organisations in different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utilise appropriate analytical tools including the use of information and communication technology to set business objectives and implementation strategy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market economies and how they shape the business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appropriate analytical tools to collect and evaluate market information and data to solve given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self-aware, reflect on own personal strength and sensitivity to others to effectively work in a culturally diverse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(e.g.,</w:t>
      </w:r>
      <w:r w:rsidRPr="2030048C">
        <w:rPr>
          <w:rFonts w:ascii="Arial" w:eastAsia="Arial" w:hAnsi="Arial" w:cs="Arial"/>
          <w:color w:val="000000" w:themeColor="text1" w:themeShade="FF" w:themeTint="FF"/>
          <w:sz w:val="24"/>
          <w:szCs w:val="24"/>
        </w:rPr>
        <w:t xml:space="preserve">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Economics, Accounting and Finance</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Economics, Accounting and Finance</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Contemporary Business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Globalisation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Accounting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Formative assessment is integrated into </w:t>
      </w:r>
      <w:r w:rsidRPr="2030048C">
        <w:rPr>
          <w:rFonts w:ascii="Arial" w:eastAsia="Arial" w:hAnsi="Arial" w:cs="Arial"/>
          <w:sz w:val="24"/>
          <w:szCs w:val="24"/>
        </w:rPr>
        <w:t xml:space="preserve">the </w:t>
      </w:r>
      <w:r w:rsidRPr="2030048C">
        <w:rPr>
          <w:rFonts w:ascii="Arial" w:eastAsia="Arial" w:hAnsi="Arial" w:cs="Arial"/>
          <w:sz w:val="24"/>
          <w:szCs w:val="24"/>
        </w:rPr>
        <w:t>teaching and learning strategy to provide feedback for students in order to improve and guide them in next steps</w:t>
      </w:r>
      <w:r w:rsidRPr="2030048C">
        <w:rPr>
          <w:rFonts w:ascii="Arial" w:eastAsia="Arial" w:hAnsi="Arial" w:cs="Arial"/>
          <w:sz w:val="24"/>
          <w:szCs w:val="24"/>
        </w:rPr>
        <w:t xml:space="preserve"> to succeed in summative assessments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is delivered through:</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Mentoring sessions</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551DE32-9771-408F-BADB-CDC89462120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