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Foundation Year (IFY)</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Engineering and Computing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Study Group</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Study Group</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International Study Centre – (“KULISC”) – Study Group</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International Foundation Year (IFY)</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Engineering and Computing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N/A</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UFSGF1SEC95</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International Foundation Year (IFY)</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Life Sciences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International Study Centre – (“KULISC”) – Study Group</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The minimum entry requirements for the programme are: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Good high school grades or equivalent. Details of minimum international entry qualifications and qualification equivalencies are provided on a separate spreadsheet maintained by both the validated partner and the university.</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IELTS for UKVI 4.5 overall (minimum 5.0 in writing and</w:t>
            </w:r>
            <w:r w:rsidRPr="2030048C">
              <w:rPr>
                <w:rStyle w:val="normaltextrun"/>
                <w:rFonts w:ascii="Arial" w:eastAsia="Arial" w:hAnsi="Arial" w:cs="Arial"/>
                <w:b w:val="0"/>
                <w:bCs w:val="0"/>
                <w:color w:val="000000"/>
                <w:sz w:val="24"/>
                <w:szCs w:val="24"/>
                <w:shd w:val="clear" w:color="auto" w:fill="FFFFFF"/>
              </w:rPr>
              <w:t xml:space="preserve"> no other skill less than 4.0)</w:t>
            </w:r>
            <w:r w:rsidRPr="2030048C">
              <w:rPr>
                <w:rStyle w:val="normaltextrun"/>
                <w:rFonts w:ascii="Arial" w:eastAsia="Arial" w:hAnsi="Arial" w:cs="Arial"/>
                <w:b w:val="0"/>
                <w:bCs w:val="0"/>
                <w:color w:val="000000"/>
                <w:sz w:val="24"/>
                <w:szCs w:val="24"/>
                <w:shd w:val="clear" w:color="auto" w:fill="FFFFFF"/>
              </w:rPr>
              <w:t>, or a higher entry requirement for progression to the MPharm in Pharmacy (5.5 in all skills)</w:t>
            </w:r>
            <w:r w:rsidRPr="2030048C">
              <w:rPr>
                <w:rStyle w:val="normaltextrun"/>
                <w:rFonts w:ascii="Arial" w:eastAsia="Arial" w:hAnsi="Arial" w:cs="Arial"/>
                <w:b w:val="0"/>
                <w:bCs w:val="0"/>
                <w:color w:val="000000"/>
                <w:sz w:val="24"/>
                <w:szCs w:val="24"/>
                <w:shd w:val="clear" w:color="auto" w:fill="FFFFFF"/>
              </w:rPr>
              <w:t>. </w:t>
            </w:r>
          </w:p>
          <w:p w:rsidRPr="2030048C" w:rsidP="2030048C">
            <w:pPr>
              <w:pStyle w:val="NormalWeb"/>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Progression Requirements: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Details of </w:t>
            </w:r>
            <w:r w:rsidRPr="2030048C">
              <w:rPr>
                <w:rStyle w:val="normaltextrun"/>
                <w:rFonts w:ascii="Arial" w:eastAsia="Arial" w:hAnsi="Arial" w:cs="Arial"/>
                <w:b w:val="0"/>
                <w:bCs w:val="0"/>
                <w:color w:val="000000"/>
                <w:sz w:val="24"/>
                <w:szCs w:val="24"/>
                <w:shd w:val="clear" w:color="auto" w:fill="FFFFFF"/>
              </w:rPr>
              <w:t xml:space="preserve">progression requirements and conditions </w:t>
            </w:r>
            <w:r w:rsidRPr="2030048C">
              <w:rPr>
                <w:rStyle w:val="normaltextrun"/>
                <w:rFonts w:ascii="Arial" w:eastAsia="Arial" w:hAnsi="Arial" w:cs="Arial"/>
                <w:b w:val="0"/>
                <w:bCs w:val="0"/>
                <w:color w:val="000000"/>
                <w:sz w:val="24"/>
                <w:szCs w:val="24"/>
                <w:shd w:val="clear" w:color="auto" w:fill="FFFFFF"/>
              </w:rPr>
              <w:t xml:space="preserve">are provided on a separate </w:t>
            </w:r>
            <w:r w:rsidRPr="2030048C">
              <w:rPr>
                <w:rStyle w:val="normaltextrun"/>
                <w:rFonts w:ascii="Arial" w:eastAsia="Arial" w:hAnsi="Arial" w:cs="Arial"/>
                <w:b w:val="0"/>
                <w:bCs w:val="0"/>
                <w:color w:val="000000"/>
                <w:sz w:val="24"/>
                <w:szCs w:val="24"/>
                <w:shd w:val="clear" w:color="auto" w:fill="FFFFFF"/>
              </w:rPr>
              <w:t>spreadsheet maintained by both the validated partner and the university.</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Progression to MPharm Pharmacy degree is subject to a successful interview during the International Foundation Year.</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Progression to the Architecture degree is subject to a successful interview and design portfolio review with the university.</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Students failing to achieve at least 40% in any module, Core or Pathway specific, will be allowed a maximum of two opportunities to re-sit the module assessments (examination or coursework) but these opportunities must fall within the maximum period for registration, that is, two years. The student re-sitting may opt, following discussions with the Head of Centre, either to </w:t>
            </w:r>
            <w:r w:rsidRPr="158602C4">
              <w:rPr>
                <w:rStyle w:val="normaltextrun"/>
                <w:rFonts w:ascii="Arial" w:eastAsia="Arial" w:hAnsi="Arial" w:cs="Arial"/>
                <w:b w:val="0"/>
                <w:bCs w:val="0"/>
                <w:color w:val="000000" w:themeColor="text1" w:themeShade="FF" w:themeTint="FF"/>
                <w:sz w:val="24"/>
                <w:szCs w:val="24"/>
              </w:rPr>
              <w:t>submit new examination/coursework or carry over his/her existing marks. Students who improve their mark on a re-sit will be allowed to carry forward the improved mark without its being capped, and this improved mark will appear on the student’s final transcript.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tbl>
      <w:tblPr>
        <w:tblStyle w:val="Table"/>
        <w:tblCellSpacing w:w="15" w:type="dxa"/>
        <w:tblCellMar>
          <w:top w:w="15" w:type="dxa"/>
          <w:left w:w="15" w:type="dxa"/>
          <w:bottom w:w="15" w:type="dxa"/>
          <w:right w:w="15" w:type="dxa"/>
        </w:tblCellMar>
        <w:tblLook w:val="05E0"/>
      </w:tblPr>
      <w:tblGrid>
        <w:gridCol w:w="8996"/>
      </w:tblGrid>
      <w:tr>
        <w:tblPrEx>
          <w:tblLook w:val="05E0"/>
        </w:tblPrEx>
        <w:tc>
          <w:tcPr>
            <w:noWrap w:val="0"/>
            <w:tcMar>
              <w:top w:w="15" w:type="dxa"/>
              <w:left w:w="15" w:type="dxa"/>
              <w:bottom w:w="15" w:type="dxa"/>
              <w:right w:w="15" w:type="dxa"/>
            </w:tcMar>
            <w:vAlign w:val="center"/>
            <w:hideMark/>
          </w:tcPr>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Educational aims of Programme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International Foundation Year Programme at Kingston University International Study Centre (KUISC) is designed to provide the opportunity for international students to develop the academic skills and values necessary to be successful in higher education within UK institutions. The aims of the programme are designed to include: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Introduce students to Higher Education teaching styles and provide them with opportunities to acquire relevant and appropriate knowledge for their chosen discipline through the teaching medium of English.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Encourage students develop skills in the collection, analysis, interpretation and understanding data and information, as well as academic English language, critical thinking, and reading and investigating skills.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Support students in the acquisition of practical, employability, transferable and sustainability skills to be utilised in their future studies and career.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Promote the development of a range of communication and information technology skills.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Ensure that students have been given a fair opportunity to achieve all stated learning outcomes.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inquisitive and independent learners with well-equipped written and other communication skills, and extend their planning, research, analysis, and presentation skills.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effective interpersonal and intrapersonal skills so that they contribute to their academic community and become life-learners.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Guided by the United Nation's Education for Sustainable Development (ESD) goals of 2030, to foster an understanding of sustainability and global citizenship, and to develop the skills and knowledge necessary for students to contribute positively to their communities and the wider world. This includes promoting an awareness of social responsibility and ethical behaviour, as well as encouraging students to critically evaluate the environmental impact of their actions and decisions. </w:t>
            </w:r>
          </w:p>
        </w:tc>
      </w:tr>
    </w:tbl>
    <w:p w:rsidR="00B400F2" w:rsidRPr="007C4290" w:rsidP="2030048C" w14:paraId="0A6BC257"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relevant information, arguments and theories related to area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Test and evaluate outcomes of a given problem  and review developed solution to the problem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Effectively communicate in written and oral formats to a  range of audience using a variety of tools and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data, information and/or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risks, ethical dimensions and safety standards required in a science and engineering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Become self-aware of personal strength and weaknesses, take the responsibility to manage own learning  to enhance their independent learning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subject-specific knowledge to real-world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mathematical and computing methods and techniques to other field of science, correctly use the appropriate symbols and language, conventions to  make logical deductions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as a member of a team, respecting the viewpoints of others recognising other  factors that affect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fundamental terminology, concepts, and theories relevant to the field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Collect and organise data/information, using  the information to analyse problems and develop solutions within a given set of requirements and specifications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think on professional, moral and ethical aspects of problems, designs and solutions, identify and reflect on risks or safety aspects in a given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The programme is made up of four core modules, each with a credit-value of 30 credits; a student must complete 120 credits from the programme to progress. Designated modules are determined by the designated route students are taking through the programme. All students will be provided with the relevant designated route, progression requirements and conditions, university academic regulations and any specific additions that are sometimes required for accreditation by outside bodies (e.g., professional, </w:t>
      </w:r>
      <w:r w:rsidRPr="2030048C">
        <w:rPr>
          <w:rFonts w:ascii="Arial" w:eastAsia="Arial" w:hAnsi="Arial" w:cs="Arial"/>
          <w:color w:val="000000" w:themeColor="text1" w:themeShade="FF" w:themeTint="FF"/>
          <w:sz w:val="24"/>
          <w:szCs w:val="24"/>
        </w:rPr>
        <w:t>statutory</w:t>
      </w:r>
      <w:r w:rsidRPr="2030048C">
        <w:rPr>
          <w:rFonts w:ascii="Arial" w:eastAsia="Arial" w:hAnsi="Arial" w:cs="Arial"/>
          <w:color w:val="000000" w:themeColor="text1" w:themeShade="FF" w:themeTint="FF"/>
          <w:sz w:val="24"/>
          <w:szCs w:val="24"/>
        </w:rPr>
        <w:t xml:space="preserve"> and regulatory bodies that confer professional accreditation) when they commence studies on the programme.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i/>
          <w:i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t>
      </w:r>
      <w:r w:rsidRPr="2030048C">
        <w:rPr>
          <w:rFonts w:ascii="Arial" w:eastAsia="Arial" w:hAnsi="Arial" w:cs="Arial"/>
          <w:color w:val="000000" w:themeColor="text1" w:themeShade="FF" w:themeTint="FF"/>
          <w:sz w:val="24"/>
          <w:szCs w:val="24"/>
        </w:rPr>
        <w:t xml:space="preserve">are </w:t>
      </w:r>
      <w:r w:rsidRPr="2030048C">
        <w:rPr>
          <w:rFonts w:ascii="Arial" w:eastAsia="Arial" w:hAnsi="Arial" w:cs="Arial"/>
          <w:color w:val="000000" w:themeColor="text1" w:themeShade="FF" w:themeTint="FF"/>
          <w:sz w:val="24"/>
          <w:szCs w:val="24"/>
        </w:rPr>
        <w:t>provided</w:t>
      </w:r>
      <w:r w:rsidRPr="2030048C">
        <w:rPr>
          <w:rFonts w:ascii="Arial" w:eastAsia="Arial" w:hAnsi="Arial" w:cs="Arial"/>
          <w:color w:val="000000" w:themeColor="text1" w:themeShade="FF" w:themeTint="FF"/>
          <w:sz w:val="24"/>
          <w:szCs w:val="24"/>
        </w:rPr>
        <w:t xml:space="preserve"> in module descriptors and student module guides</w:t>
      </w:r>
      <w:r w:rsidRPr="2030048C">
        <w:rPr>
          <w:rFonts w:ascii="Arial" w:eastAsia="Arial" w:hAnsi="Arial" w:cs="Arial"/>
          <w:color w:val="000000" w:themeColor="text1" w:themeShade="FF" w:themeTint="FF"/>
          <w:sz w:val="24"/>
          <w:szCs w:val="24"/>
        </w:rPr>
        <w:t>/handbooks</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To be eligible to progress from the Foundation Year (Level 3) to Level 4 of the degree programme, students must successfully pass all modules at Level 3, achieving a total of 120 credits. Trailing failed modules is not permitted.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International Foundation Year (IFY)</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Engineering and Computing</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International Foundation Year (IFY)</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Engineering and Computing</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Computer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Academic English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Mathematics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Physics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International Foundation Year (IFY)</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Life Sciences</w:t>
      </w:r>
    </w:p>
    <w:p w:rsidR="008B5CAF" w:rsidRPr="008B5CAF" w:rsidP="008B5CAF" w14:textId="77777777">
      <w:pPr>
        <w:rPr>
          <w:rFonts w:eastAsia="Arial"/>
        </w:rPr>
      </w:pPr>
    </w:p>
    <w:p w:rsidR="035B6837" w:rsidP="2030048C"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E"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A"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International Foundation Year (IFY)</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Life Sciences</w:t>
            </w:r>
          </w:p>
        </w:tc>
      </w:tr>
      <w:tr w14:paraId="391AAB5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C"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 2 and 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D"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 2 and 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E"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Academic English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 2 and 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F"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Mathematics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 2 and 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040"/>
        <w:gridCol w:w="367"/>
        <w:gridCol w:w="914"/>
        <w:gridCol w:w="914"/>
        <w:gridCol w:w="914"/>
        <w:gridCol w:w="914"/>
        <w:gridCol w:w="914"/>
        <w:gridCol w:w="91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NormalWeb">
    <w:name w:val="NormalWeb"/>
    <w:basedOn w:val="Normal"/>
  </w:style>
  <w:style w:type="paragraph" w:customStyle="1" w:styleId="p">
    <w:name w:val="p"/>
    <w:basedOn w:val="Normal"/>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FFEB2DA-95CF-4C6D-A298-D054559CE08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