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UFIBU1IBU20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Professional Experience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Professional Experience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Professional Experience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USIBU1IBU45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UFIBU1IBU55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Additionally, all non-UK applicants must meet our 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global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global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module booklets.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Digital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Service Mindset in Business Relationships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Working in a Global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4</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r w:rsidRPr="2030048C">
        <w:rPr>
          <w:rStyle w:val="normaltextrun"/>
          <w:rFonts w:ascii="Arial" w:eastAsia="Arial" w:hAnsi="Arial" w:cs="Arial"/>
          <w:color w:val="0000FF"/>
          <w:sz w:val="24"/>
          <w:szCs w:val="24"/>
          <w:u w:val="single"/>
        </w:rPr>
        <w:t xml:space="preserve">Academic regulation 14.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Professional Experience</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with Professional Experience</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 with Professional Experience</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Unlocking Business Value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Working in a Global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Experience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BL5002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r w14:paraId="5D7D13A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r w:rsidRPr="2030048C">
        <w:rPr>
          <w:rStyle w:val="normaltextrun"/>
          <w:rFonts w:ascii="Arial" w:eastAsia="Arial" w:hAnsi="Arial" w:cs="Arial"/>
          <w:color w:val="0000FF"/>
          <w:sz w:val="24"/>
          <w:szCs w:val="24"/>
          <w:u w:val="single"/>
        </w:rPr>
        <w:t xml:space="preserve">Academic regulation 14.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with Professional Experience</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7</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7</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7</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7</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teaching, learning and assessment supports the programme aims to ensure that graduates have the skills and knowledge to secure and thrive in graduate-level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 relevant and authentic – further preparing our graduates for the tasks and challenges they will face in graduate roles.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those currently in practice, and practice-based staff providing students with connections to industry and the “real world”, research-active staff expose students to the latest research developments.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loads are standardised at each level and wherever possible students will be given a choice in how they present their assessment to meet the learning outcomes.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Presentation skills and group learning are developed throughout the programme to emulate the real-world situations in which our students may find themselves.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 </w:t>
      </w:r>
    </w:p>
    <w:p w:rsidRPr="2030048C" w:rsidP="2030048C">
      <w:pPr>
        <w:rPr>
          <w:rFonts w:ascii="Arial" w:eastAsia="Arial" w:hAnsi="Arial" w:cs="Arial"/>
          <w:sz w:val="24"/>
          <w:szCs w:val="24"/>
        </w:rPr>
      </w:pPr>
      <w:r w:rsidRPr="2030048C">
        <w:rPr>
          <w:rFonts w:ascii="Arial" w:eastAsia="Arial" w:hAnsi="Arial" w:cs="Arial"/>
          <w:sz w:val="24"/>
          <w:szCs w:val="24"/>
        </w:rPr>
        <w:t>To further support students, sessions led by personal tutors are integrated into modules. These sessions will focus on supporting the students in transitioning to, and from, Higher Education and develop skills for success.  </w:t>
      </w:r>
    </w:p>
    <w:p w:rsidRPr="2030048C" w:rsidP="2030048C">
      <w:pPr>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International Business programme has integrated the principles of the University’s Inclusive Curriculum Framework, to ensure inclusivity has been embedded throughout the academic cycle. Examples of these approaches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Assessments and delivery patterns that support students who commute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general administrative aspects such as timetables issues and providing letters.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Student Achievement Officers. This team can provide guidance on study plans or help arrange services such as Wellness or Disability. </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An Academic Affairs Coordinator. The AAC can provide advice and guidance on academic matters such as mitigating circumstances and extensions.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242424"/>
          <w:sz w:val="24"/>
          <w:szCs w:val="24"/>
          <w:shd w:val="clear" w:color="auto" w:fill="FFFFFF"/>
        </w:rPr>
        <w:t>A Sky Mentor. The Sky Mentor will provide support and guidance for students on the development of their employability profile, future skills and career aims.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and Employability team</w:t>
        </w:r>
      </w:hyperlink>
      <w:r w:rsidRPr="2030048C">
        <w:rPr>
          <w:rFonts w:ascii="Arial" w:eastAsia="Arial" w:hAnsi="Arial" w:cs="Arial"/>
          <w:sz w:val="24"/>
          <w:szCs w:val="24"/>
        </w:rPr>
        <w:t xml:space="preserve"> provides valuable guidance which develop students’ professional skills, supporting them with internships and/or placements and organising careers events.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Peer-Assisted Learning (PAL) student mentors. The PAL mentors are students who have previously studied the modules and provide support and mentoring to newer students.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CASE. This is a drop-in service for advice on academic skills.  Both UK and international students find this service particularly useful for providing feedback on appropriate referencing.</w:t>
      </w:r>
    </w:p>
    <w:p w:rsidRPr="2030048C" w:rsidP="2030048C">
      <w:pPr>
        <w:numPr>
          <w:ilvl w:val="0"/>
          <w:numId w:val="17"/>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7"/>
        </w:numPr>
        <w:ind w:left="720" w:hanging="360"/>
        <w:jc w:val="both"/>
        <w:rPr>
          <w:rFonts w:ascii="Arial" w:eastAsia="Arial" w:hAnsi="Arial" w:cs="Arial"/>
          <w:sz w:val="24"/>
          <w:szCs w:val="24"/>
        </w:rPr>
      </w:pPr>
      <w:hyperlink r:id="rId14" w:history="1">
        <w:r w:rsidRPr="2030048C">
          <w:rPr>
            <w:rFonts w:ascii="Arial" w:eastAsia="Arial" w:hAnsi="Arial" w:cs="Arial"/>
            <w:sz w:val="24"/>
            <w:szCs w:val="24"/>
          </w:rPr>
          <w:t>LinkedIn Learning</w:t>
        </w:r>
      </w:hyperlink>
      <w:r w:rsidRPr="2030048C">
        <w:rPr>
          <w:rFonts w:ascii="Arial" w:eastAsia="Arial" w:hAnsi="Arial" w:cs="Arial"/>
          <w:sz w:val="24"/>
          <w:szCs w:val="24"/>
        </w:rPr>
        <w:t xml:space="preserve"> videos that provide a broad range of business and IT training resources.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An induction week at the start of the programme to introduce students to the university, university life, what is expected of them, the degree programme and each other.</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5"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6" w:history="1">
        <w:r w:rsidRPr="2030048C">
          <w:rPr>
            <w:rFonts w:ascii="Arial" w:eastAsia="Arial" w:hAnsi="Arial" w:cs="Arial"/>
            <w:sz w:val="24"/>
            <w:szCs w:val="24"/>
          </w:rPr>
          <w:t>Kingston Language Scheme</w:t>
        </w:r>
      </w:hyperlink>
      <w:r w:rsidRPr="2030048C">
        <w:rPr>
          <w:rStyle w:val="MsoHyperlink"/>
          <w:rFonts w:ascii="Arial" w:eastAsia="Arial" w:hAnsi="Arial" w:cs="Arial"/>
          <w:color w:val="0000FF"/>
          <w:sz w:val="24"/>
          <w:szCs w:val="24"/>
          <w:u w:val="single" w:color="0000FF"/>
        </w:rPr>
        <w:t>.</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Staff Student Consultative Committee and course representatives to enable students to feed back to staff about the programme.</w:t>
      </w:r>
    </w:p>
    <w:p w:rsidRPr="2030048C" w:rsidP="2030048C">
      <w:pPr>
        <w:numPr>
          <w:ilvl w:val="0"/>
          <w:numId w:val="17"/>
        </w:numPr>
        <w:ind w:left="720" w:hanging="360"/>
        <w:jc w:val="both"/>
        <w:rPr>
          <w:rFonts w:ascii="Arial" w:eastAsia="Arial" w:hAnsi="Arial" w:cs="Arial"/>
          <w:sz w:val="24"/>
          <w:szCs w:val="24"/>
        </w:rPr>
      </w:pPr>
      <w:hyperlink r:id="rId17"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8"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11"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19"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20" w:history="1">
        <w:r w:rsidRPr="2030048C">
          <w:rPr>
            <w:rFonts w:ascii="Arial" w:eastAsia="Arial" w:hAnsi="Arial" w:cs="Arial"/>
            <w:sz w:val="24"/>
            <w:szCs w:val="24"/>
          </w:rPr>
          <w:t>international student support</w:t>
        </w:r>
      </w:hyperlink>
      <w:r w:rsidRPr="2030048C">
        <w:rPr>
          <w:rFonts w:ascii="Arial" w:eastAsia="Arial" w:hAnsi="Arial" w:cs="Arial"/>
          <w:sz w:val="24"/>
          <w:szCs w:val="24"/>
        </w:rPr>
        <w:t>.</w:t>
      </w:r>
    </w:p>
    <w:p w:rsidRPr="2030048C" w:rsidP="2030048C">
      <w:pPr>
        <w:numPr>
          <w:ilvl w:val="0"/>
          <w:numId w:val="17"/>
        </w:numPr>
        <w:ind w:left="720" w:hanging="360"/>
        <w:jc w:val="both"/>
        <w:rPr>
          <w:rFonts w:ascii="Arial" w:eastAsia="Arial" w:hAnsi="Arial" w:cs="Arial"/>
          <w:sz w:val="24"/>
          <w:szCs w:val="24"/>
        </w:rPr>
      </w:pPr>
      <w:hyperlink r:id="rId21" w:history="1">
        <w:r w:rsidRPr="2030048C">
          <w:rPr>
            <w:rFonts w:ascii="Arial" w:eastAsia="Arial" w:hAnsi="Arial" w:cs="Arial"/>
            <w:sz w:val="24"/>
            <w:szCs w:val="24"/>
          </w:rPr>
          <w:t>Disabled student support</w:t>
        </w:r>
      </w:hyperlink>
      <w:r w:rsidRPr="2030048C">
        <w:rPr>
          <w:rStyle w:val="MsoHyperlink"/>
          <w:rFonts w:ascii="Arial" w:eastAsia="Arial" w:hAnsi="Arial" w:cs="Arial"/>
          <w:color w:val="0000FF"/>
          <w:sz w:val="24"/>
          <w:szCs w:val="24"/>
          <w:u w:val="single" w:color="0000FF"/>
        </w:rPr>
        <w:t>.</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w:t>
      </w:r>
      <w:hyperlink r:id="rId22" w:history="1">
        <w:r w:rsidRPr="2030048C">
          <w:rPr>
            <w:rFonts w:ascii="Arial" w:eastAsia="Arial" w:hAnsi="Arial" w:cs="Arial"/>
            <w:sz w:val="24"/>
            <w:szCs w:val="24"/>
          </w:rPr>
          <w:t>International Student Advisory Centre</w:t>
        </w:r>
      </w:hyperlink>
      <w:r w:rsidRPr="2030048C">
        <w:rPr>
          <w:rFonts w:ascii="Arial" w:eastAsia="Arial" w:hAnsi="Arial" w:cs="Arial"/>
          <w:sz w:val="24"/>
          <w:szCs w:val="24"/>
        </w:rPr>
        <w:t xml:space="preserve"> (ISAC) which welcomes students on their entry to the UK and provides support throughout the student’s time at University. The IASC is based on the Kingston Hill campus, where the Accounting and Finance with Business Experience programme is taught, and provides guidance on such items as immigration matters, living in the UK and healthcare in the UK for international students.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23" w:history="1">
        <w:r w:rsidRPr="2030048C">
          <w:rPr>
            <w:rFonts w:ascii="Arial" w:eastAsia="Arial" w:hAnsi="Arial" w:cs="Arial"/>
            <w:sz w:val="24"/>
            <w:szCs w:val="24"/>
          </w:rPr>
          <w:t>Union of Kingston Students</w:t>
        </w:r>
      </w:hyperlink>
      <w:r w:rsidRPr="2030048C">
        <w:rPr>
          <w:rFonts w:ascii="Arial" w:eastAsia="Arial" w:hAnsi="Arial" w:cs="Arial"/>
          <w:sz w:val="24"/>
          <w:szCs w:val="24"/>
        </w:rPr>
        <w:t>, which provides a wide variety of clubs and societies and social events, as well as supporting and providing guidance to students on a variety of academic issues.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3"/>
        <w:gridCol w:w="174"/>
        <w:gridCol w:w="447"/>
        <w:gridCol w:w="447"/>
        <w:gridCol w:w="447"/>
        <w:gridCol w:w="440"/>
        <w:gridCol w:w="447"/>
        <w:gridCol w:w="447"/>
        <w:gridCol w:w="440"/>
        <w:gridCol w:w="447"/>
        <w:gridCol w:w="440"/>
        <w:gridCol w:w="440"/>
        <w:gridCol w:w="447"/>
        <w:gridCol w:w="459"/>
        <w:gridCol w:w="1"/>
        <w:gridCol w:w="446"/>
        <w:gridCol w:w="440"/>
        <w:gridCol w:w="440"/>
        <w:gridCol w:w="440"/>
        <w:gridCol w:w="447"/>
        <w:gridCol w:w="4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information-and-technology-services/service-desk-portal/" TargetMode="External"/><Relationship Id="rId18" Type="http://schemas.openxmlformats.org/officeDocument/2006/relationships/hyperlink" Target="https://kingstonuniversity.sharepoint.com/sites/mykingston/mysupport/money/Pages/default.aspx" TargetMode="External"/><Relationship Id="rId26" Type="http://schemas.openxmlformats.org/officeDocument/2006/relationships/styles" Target="styles.xml"/><Relationship Id="rId8" Type="http://schemas.openxmlformats.org/officeDocument/2006/relationships/image" Target="media/image1.png"/><Relationship Id="rId21" Type="http://schemas.openxmlformats.org/officeDocument/2006/relationships/hyperlink" Target="https://kingstonuniversity.sharepoint.com/sites/mykingston/mysupport/studentwellbeing" TargetMode="External"/><Relationship Id="rId3" Type="http://schemas.openxmlformats.org/officeDocument/2006/relationships/fontTable" Target="fontTable.xml"/><Relationship Id="rId12" Type="http://schemas.openxmlformats.org/officeDocument/2006/relationships/hyperlink" Target="http://jobscentral.kingston.ac.uk/" TargetMode="External"/><Relationship Id="rId17" Type="http://schemas.openxmlformats.org/officeDocument/2006/relationships/hyperlink" Target="http://canvas.kingston.ac.uk/" TargetMode="External"/><Relationship Id="rId25"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hyperlink" Target="https://www.kingston.ac.uk/kingston-language-scheme/" TargetMode="External"/><Relationship Id="rId2" Type="http://schemas.openxmlformats.org/officeDocument/2006/relationships/webSettings" Target="webSettings.xml"/><Relationship Id="rId20" Type="http://schemas.openxmlformats.org/officeDocument/2006/relationships/hyperlink" Target="https://kingstonuniversity.sharepoint.com/sites/mykingston/mysupport/international/Pages/default.aspx" TargetMode="Externa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24" Type="http://schemas.openxmlformats.org/officeDocument/2006/relationships/theme" Target="theme/theme1.xml"/><Relationship Id="rId6" Type="http://schemas.openxmlformats.org/officeDocument/2006/relationships/customXml" Target="../customXml/item3.xml"/><Relationship Id="rId15" Type="http://schemas.openxmlformats.org/officeDocument/2006/relationships/hyperlink" Target="https://kingstonuniversity.sharepoint.com/sites/mykingston/mysupport/ELD/Pages/default.aspx" TargetMode="External"/><Relationship Id="rId23" Type="http://schemas.openxmlformats.org/officeDocument/2006/relationships/hyperlink" Target="https://www.kingstonstudents.net/" TargetMode="External"/><Relationship Id="rId10" Type="http://schemas.openxmlformats.org/officeDocument/2006/relationships/footer" Target="footer1.xml"/><Relationship Id="rId19" Type="http://schemas.openxmlformats.org/officeDocument/2006/relationships/hyperlink" Target="https://kingstonuniversity.sharepoint.com/sites/mykingston/mysupport/myaccommodation/Pages/default.aspx" TargetMode="External"/><Relationship Id="rId14" Type="http://schemas.openxmlformats.org/officeDocument/2006/relationships/hyperlink" Target="https://kingstonuniversity.sharepoint.com/sites/mykingston/mysupport/itsupport/lynda/Pages/default.aspx" TargetMode="External"/><Relationship Id="rId22" Type="http://schemas.openxmlformats.org/officeDocument/2006/relationships/hyperlink" Target="https://www.kingston.ac.uk/international/visas-immigration-and-cas/advice-for-international-students/"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FBA1152-2BA0-4A9C-B06E-86D15C7DE67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