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International Business</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01/11/2015</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19/01/2026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18</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Business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Strategy, Marketing and Innovation</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International Business</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International Business</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International Business</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DipHE International Business</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UFIBU1BU20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N120 (3 years)</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International Business with Professional Placement</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International Business with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International Business with Professional Placement</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DipHE International Business with Professional Placement</w:t>
            </w: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UFIBU1BU45</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C"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International Business with Foundation Year</w:t>
            </w:r>
          </w:p>
          <w:p w:rsidR="72431AC7" w:rsidP="540725A5" w14:textId="77777777">
            <w:pPr>
              <w:rPr>
                <w:rFonts w:ascii="Arial" w:eastAsia="Arial" w:hAnsi="Arial" w:cs="Arial"/>
                <w:b w:val="0"/>
                <w:bCs w:val="0"/>
                <w:sz w:val="24"/>
                <w:szCs w:val="24"/>
              </w:rPr>
            </w:pPr>
          </w:p>
        </w:tc>
      </w:tr>
      <w:tr w14:paraId="34BB979D"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International Business</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International Business</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DipHE International Business</w:t>
            </w:r>
            <w:r>
              <w:br/>
            </w:r>
          </w:p>
        </w:tc>
      </w:tr>
      <w:tr w14:paraId="2A120394"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UFIBU1BU55</w:t>
            </w:r>
          </w:p>
        </w:tc>
      </w:tr>
      <w:tr w14:paraId="78C565EA"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Faculty of Business and Social Sciences, Kingston Business School, Kingston Hill</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7</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8</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Association for the Advancement of Collegiate Schools of Business (AACSB)</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European Foundation for Management Development (EFMD)</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ind w:left="360"/>
              <w:jc w:val="both"/>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None</w:t>
            </w:r>
          </w:p>
          <w:p w:rsidR="5D711985" w:rsidRPr="158602C4" w:rsidP="158602C4">
            <w:pPr>
              <w:shd w:val="clear" w:color="auto" w:fill="FFFFFE"/>
              <w:spacing w:before="0" w:beforeAutospacing="0" w:after="0" w:afterAutospacing="0" w:line="285" w:lineRule="auto"/>
              <w:ind w:left="360"/>
              <w:jc w:val="both"/>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 </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bCs/>
                <w:color w:val="000000" w:themeColor="text1" w:themeShade="FF" w:themeTint="FF"/>
                <w:sz w:val="24"/>
                <w:szCs w:val="24"/>
              </w:rPr>
              <w:t>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Equip students with a strong foundation in </w:t>
      </w:r>
      <w:r w:rsidRPr="2030048C">
        <w:rPr>
          <w:rStyle w:val="normaltextrun"/>
          <w:rFonts w:ascii="Arial" w:hAnsi="Arial" w:cs="Arial"/>
          <w:color w:val="000000"/>
          <w:sz w:val="24"/>
          <w:szCs w:val="24"/>
          <w:shd w:val="clear" w:color="auto" w:fill="FFFFFF"/>
        </w:rPr>
        <w:t xml:space="preserve">core </w:t>
      </w:r>
      <w:r w:rsidRPr="2030048C">
        <w:rPr>
          <w:rStyle w:val="normaltextrun"/>
          <w:rFonts w:ascii="Arial" w:hAnsi="Arial" w:cs="Arial"/>
          <w:color w:val="000000" w:themeColor="text1"/>
          <w:sz w:val="24"/>
          <w:szCs w:val="24"/>
          <w:shd w:val="clear" w:color="auto" w:fill="FFFFFF"/>
        </w:rPr>
        <w:t>business management principles</w:t>
      </w:r>
      <w:r w:rsidRPr="2030048C">
        <w:rPr>
          <w:rStyle w:val="normaltextrun"/>
          <w:rFonts w:ascii="Arial" w:hAnsi="Arial" w:cs="Arial"/>
          <w:color w:val="000000"/>
          <w:sz w:val="24"/>
          <w:szCs w:val="24"/>
          <w:shd w:val="clear" w:color="auto" w:fill="FFFFFF"/>
        </w:rPr>
        <w:t xml:space="preserve"> elements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Develop students’ expertise in the principles and practice of global business, enabling them to respond to dynamic international business environments.</w:t>
      </w:r>
      <w:r w:rsidRPr="2030048C">
        <w:rPr>
          <w:rStyle w:val="normaltextrun"/>
          <w:rFonts w:ascii="Arial" w:hAnsi="Arial" w:cs="Arial"/>
          <w:color w:val="000000" w:themeColor="text1"/>
          <w:sz w:val="22"/>
          <w:szCs w:val="22"/>
          <w:shd w:val="clear" w:color="auto" w:fill="FFFFFF"/>
        </w:rPr>
        <w:t xml:space="preserve">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graduates who are digitally competent, enterprising, ethically aware, and capable of addressing sustainability challenges.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Ensure students develop the right skills and knowledge to meet the evolving demands of current and emerging industry needs and global concerns.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Prepare students for graduate-level employment for business and management </w:t>
      </w:r>
      <w:r w:rsidRPr="2030048C">
        <w:rPr>
          <w:rStyle w:val="normaltextrun"/>
          <w:rFonts w:ascii="Arial" w:hAnsi="Arial" w:cs="Arial"/>
          <w:color w:val="000000"/>
          <w:sz w:val="24"/>
          <w:szCs w:val="24"/>
          <w:shd w:val="clear" w:color="auto" w:fill="FFFFFF"/>
        </w:rPr>
        <w:t>roles in all types of global organisations and sectors</w:t>
      </w:r>
      <w:r w:rsidRPr="2030048C">
        <w:rPr>
          <w:rStyle w:val="normaltextrun"/>
          <w:rFonts w:ascii="Arial" w:hAnsi="Arial" w:cs="Arial"/>
          <w:color w:val="000000" w:themeColor="text1"/>
          <w:sz w:val="24"/>
          <w:szCs w:val="24"/>
          <w:shd w:val="clear" w:color="auto" w:fill="FFFFFF"/>
        </w:rPr>
        <w:t>, further study, and lifelong learning embedding professional practice and industry engagement.</w:t>
      </w:r>
      <w:r w:rsidRPr="2030048C">
        <w:rPr>
          <w:rStyle w:val="normaltextrun"/>
          <w:rFonts w:ascii="Arial" w:hAnsi="Arial" w:cs="Arial"/>
          <w:i/>
          <w:iCs/>
          <w:color w:val="000000" w:themeColor="text1"/>
          <w:sz w:val="24"/>
          <w:szCs w:val="24"/>
          <w:shd w:val="clear" w:color="auto" w:fill="FFFFFF"/>
        </w:rPr>
        <w:t xml:space="preserve">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Explain and critically evaluate complex global business environments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data to identify and solve unstructured business problems, and make evidence-based decisions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Implement current and emerging digital and technological solutions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Communicate an in-depth knowledge and understanding of the key functional areas of business and their interrelationships within an international and cross-cultural context.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an enterprising and questioning mindset to create sustainable value in global business contexts.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xml:space="preserve"> Identify and evaluate international business opportunities to create sustainable value and drive innovation across global markets.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 detailed and critical understanding of how global business functions and external environmental factors interrelate and influence organisational performance in international contexts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Interpret, analyse, and evaluate business information and other relevant sources to draw informed conclusions and make sound decisions in international contexts.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Work effectively in diverse and cross-cultural environments, demonstrating a questioning mindset, empathy, adaptability, and collaboration.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 critical awareness and understanding of current issues of global concern such as sustainability, ethics and social responsibility and how these relate to contemporary business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relevant critical, creative or entrepreneurial skills to deal with global management problems and issues to produce recommendations for decision and subsequent action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Conduct and present themselves in a professional manner appropriate for the global workplace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For students on the professional placement only: Apply theoretical knowledge to develop practical insights into professional practices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Future Skills requirements are embedded as follows: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Navigate is embedded into BH4105 Organisations &amp; People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Explore is embedded into BS5014 Global Innovation, Sustainability and Responsibility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Future Skills Apply module is delivered at Level 6.</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Students who are entering the course through the foundation year, please see the Foundation Year in Business programme specification for details about the foundation year modules.</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International Business</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International Business</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Data and Technology in Business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BB4206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Global Business Environments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BB4207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Marketing &amp; Sales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BM4800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Organisations &amp; People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BH4105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course permits progression from level 4 to level 5 with 90 credits at level 4 or above. The outstanding 30 credits from level 4 can be trailed into level 5 and must be passed before progression to level 6.</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 in International Business.</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International Business</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Accounting &amp; Financial Management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BA5812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Business Analytics and Digital Intelligence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BB5005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4</w:t>
            </w: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Global Innovation, Sustainability and Responsibility</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BS5014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Managing Across Cultures and Borders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BM5015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This course permits progression from level 5 to level 6 with 90 credits at level 5 or above. The outstanding 30 credits from level 5 can be trailed into level 6 and must be passed before consideration for an award. </w:t>
      </w:r>
    </w:p>
    <w:p w:rsidR="3891A81D"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at this point who have successfully completed 120 credits at level 5 or above are eligible for the award of Diploma of Higher Education in International Business. </w:t>
      </w:r>
    </w:p>
    <w:p w:rsidR="3891A81D"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must complete Professional Placement to exit with CertHE International Business with Professional Placement or DipHE International Business with Professional Placement</w:t>
      </w:r>
    </w:p>
    <w:p w:rsidR="3891A81D"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International Business</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AI for Business &amp; Innovation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BS6002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4</w:t>
            </w: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Building Business Strategy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BS6206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International Operations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BS6010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6</w:t>
            </w: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International Trade and Markets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BS6009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6</w:t>
            </w: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without completing the full 120 credits but have successfully completed 60 credits at level 6 or above are eligible for the award of a BSc International Business.</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For students on the placement route, the successful completion of BH5030 module will be required to receive the professional placement award. If a student does not secure a placement or does not complete the professional placement, they will automatically be transferred to the without placement route. </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International Business with Professional Placement</w:t>
      </w:r>
    </w:p>
    <w:p w:rsidR="008B5CAF" w:rsidRPr="008B5CAF" w:rsidP="008B5CAF" w14:textId="77777777">
      <w:pPr>
        <w:rPr>
          <w:rFonts w:eastAsia="Arial"/>
        </w:rPr>
      </w:pPr>
    </w:p>
    <w:p w:rsidR="035B6837" w:rsidP="2030048C"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B"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0F3F3B7">
            <w:pPr>
              <w:rPr>
                <w:rFonts w:ascii="Arial" w:eastAsia="Arial" w:hAnsi="Arial" w:cs="Arial"/>
              </w:rPr>
            </w:pPr>
            <w:r w:rsidRPr="66934EB1">
              <w:rPr>
                <w:rFonts w:ascii="Arial" w:eastAsia="Arial" w:hAnsi="Arial" w:cs="Arial"/>
                <w:b/>
                <w:bCs/>
              </w:rPr>
              <w:t>Level 5</w:t>
            </w:r>
          </w:p>
        </w:tc>
      </w:tr>
      <w:tr w14:paraId="1514BE76"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International Business with Professional Placement</w:t>
            </w:r>
          </w:p>
        </w:tc>
      </w:tr>
      <w:tr w14:paraId="6F03CED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8"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Year-Long Work Placement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BH5030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textId="7597772D">
      <w:pPr>
        <w:rPr>
          <w:rFonts w:ascii="Arial" w:eastAsia="Arial" w:hAnsi="Arial" w:cs="Arial"/>
          <w:color w:val="0070C0"/>
          <w:sz w:val="24"/>
          <w:szCs w:val="24"/>
        </w:rPr>
      </w:pPr>
    </w:p>
    <w:p w:rsidR="3891A81D" w:rsidRPr="2030048C" w:rsidP="2030048C"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 with Professional Placement. </w:t>
      </w:r>
    </w:p>
    <w:p w:rsidR="66934EB1" w:rsidP="2030048C" w14:textId="5C84D198">
      <w:pPr>
        <w:rPr>
          <w:rFonts w:ascii="Arial" w:eastAsia="Arial" w:hAnsi="Arial" w:cs="Arial"/>
          <w:color w:val="000000" w:themeColor="text1" w:themeShade="FF" w:themeTint="FF"/>
          <w:sz w:val="24"/>
          <w:szCs w:val="24"/>
          <w:lang w:val="en-GB"/>
        </w:rPr>
      </w:pPr>
    </w:p>
    <w:p w:rsidR="66934EB1" w:rsidP="540725A5" w14:textId="65ECFB32">
      <w:pPr>
        <w:rPr>
          <w:rFonts w:ascii="Arial" w:eastAsia="Arial" w:hAnsi="Arial" w:cs="Arial"/>
          <w:color w:val="FF0000"/>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International Business with Foundation Year</w:t>
      </w:r>
    </w:p>
    <w:p w:rsidR="008B5CAF" w:rsidRPr="008B5CAF" w:rsidP="008B5CAF" w14:textId="77777777">
      <w:pPr>
        <w:rPr>
          <w:rFonts w:eastAsia="Arial"/>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QAA Subject benchmarks (Business and Management)</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035"/>
        <w:gridCol w:w="217"/>
        <w:gridCol w:w="571"/>
        <w:gridCol w:w="556"/>
        <w:gridCol w:w="556"/>
        <w:gridCol w:w="554"/>
        <w:gridCol w:w="2"/>
        <w:gridCol w:w="556"/>
        <w:gridCol w:w="571"/>
        <w:gridCol w:w="556"/>
        <w:gridCol w:w="547"/>
        <w:gridCol w:w="553"/>
        <w:gridCol w:w="3"/>
        <w:gridCol w:w="547"/>
        <w:gridCol w:w="547"/>
        <w:gridCol w:w="547"/>
        <w:gridCol w:w="547"/>
        <w:gridCol w:w="545"/>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BM4800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BH4105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BB4206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BB4207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BH5030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BM5015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BA5812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BS5014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BB5005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BS6009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BS6010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BS6002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BS6206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sz w:val="24"/>
          <w:szCs w:val="24"/>
        </w:rPr>
        <w:t>There is only one approved entry for this programme - September</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C40CA4B8-4A0A-41CF-A1FD-60B23E1C2B8E}"/>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y fmtid="{D5CDD505-2E9C-101B-9397-08002B2CF9AE}" pid="16" name="xd_Signature">
    <vt:bool>false</vt:bool>
  </property>
  <property fmtid="{D5CDD505-2E9C-101B-9397-08002B2CF9AE}" pid="17" name="xd_ProgID">
    <vt:lpwstr/>
  </property>
  <property fmtid="{D5CDD505-2E9C-101B-9397-08002B2CF9AE}" pid="18" name="_SourceUrl">
    <vt:lpwstr/>
  </property>
  <property fmtid="{D5CDD505-2E9C-101B-9397-08002B2CF9AE}" pid="19" name="_SharedFileIndex">
    <vt:lpwstr/>
  </property>
  <property fmtid="{D5CDD505-2E9C-101B-9397-08002B2CF9AE}" pid="20" name="TemplateUrl">
    <vt:lpwstr/>
  </property>
  <property fmtid="{D5CDD505-2E9C-101B-9397-08002B2CF9AE}" pid="21" name="ComplianceAssetId">
    <vt:lpwstr/>
  </property>
  <property fmtid="{D5CDD505-2E9C-101B-9397-08002B2CF9AE}" pid="22" name="_ExtendedDescription">
    <vt:lpwstr/>
  </property>
  <property fmtid="{D5CDD505-2E9C-101B-9397-08002B2CF9AE}" pid="23" name="TriggerFlowInfo">
    <vt:lpwstr/>
  </property>
</Properties>
</file>