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International Business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23/07/2025</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20/01/2026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8</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Strategy, Marketing and Innovation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SVKM’s NMIMS CIS (levels 4 and 5), Kingston University (level 6)</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International Business</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International Business</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 HE International Business</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International Business</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UFIBS1IBS21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 xml:space="preserve"> International Business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International Business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 HE International Business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International Business with Professional Placement with Professional Placement</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USIBS1IBS45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SVKM’s NMIMS CIS (levels 4 and 5), Kingston University (level 6)</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Level 4 and Level 5 in SVKM-NMIMS, Mumbai. Level 6 in Kingston Business School (KBS), Faculty of Business and Social Sciences, 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minimum entry qualifications for the programme are: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From A levels: 100 UCAS Tariff Points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BTEC: DMM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Access Diploma: Pass Access course with a minimum of 48 credits at level 3 or above including 21 at Merit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Plus: Five GCSEs grade A – C, including Maths and English Language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Indian Qualifications: Standard XII: Higher Secondary School Certificate or Senior School Certificate Examination (CBSE, CISCE, Tamil Nadu, Maharashtra &amp; West Bengal boards) 60% marks AND 70% or above in "English Core", "Functional English", "Elective English"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Standard XII: Higher Secondary School Certificate or Senior School Certificate Examination (other state boards) 65% marks AND 70% or above in "English Core", "Functional English", "Elective English"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International Baccalaureate (IB/IBO) 100 points AND 5/7 or above in "English Core", "Functional English", "Elective English"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 minimum IELTS score of 6.0 TOEFL 80 or equivalent is required for those for whom English is not their first language or do not meet the above English Language requirement.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Entry is at Level 4 with A-level or equivalent qualifications. Intake is normally in September. </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Association for the Advancement of Collegiate Schools of Business (AACSB) </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students with a strong foundation in core business management principles elements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students’ expertise in the principles and practice of global business, enabling them to respond to dynamic international business environments.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graduates who are digitally competent, enterprising, ethically aware, and capable of addressing sustainability challenges.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Ensure students develop the right skills and knowledge to meet the evolving demands of current and emerging industry needs and global concerns.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Prepare students for graduate-level employment for business and management roles in all types of global organisations and sectors, further study, and lifelong learning embedding professional practice and industry engagement.</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and critically evaluate complex global business environments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data to identify and solve unstructured business problems, and make evidence-based decisions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current and emerging digital and technological solutions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Communicate an in-depth knowledge and understanding of the key functional areas of business and their interrelationships within an international and cross-cultural context.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an enterprising and questioning mindset to create sustainable value in global business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and evaluate international business opportunities to create sustainable value and drive innovation across global markets.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detailed and critical understanding of how global business functions and external environmental factors interrelate and influence organisational performance in international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Interpret, analyse, and evaluate business information and other relevant sources to draw informed conclusions and make sound decisions in international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effectively in diverse and cross-cultural environments, demonstrating a questioning mindset, empathy, adaptability, and collaboration.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critical awareness and understanding of current issues of global concern such as sustainability, ethics and social responsibility and how these relate to contemporary business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relevant critical, creative or entrepreneurial skills to deal with global management problems and issues to produce recommendations for decision and subsequent 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Conduct and present themselves in a professional manner appropriate for the global workplace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For students on the placement pathway only: Apply theoretical knowledge to develop practical insights into professional practices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programme is offered in full-time mode. Students who study the first two years of the course in SVKM’s NMIMS CIS, Mumbai, take the final year at Kingston University. Full details of each module will be provided in module descriptors and in the module canvas pages.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requirements are embedded as follows: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Navigate is embedded into BH4105 Organisations &amp; People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Explore is embedded into BS5014 Global Innovation, Sustainability and Responsibility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Apply module is delivered at Level 6.</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can progress from one level to the next with 30 credits trailing but they must pass the failed credits before progressing to the next level. This includes progressing to the placement year.</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International Business</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International Business</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Data and Technology in Business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Global Business Environments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BB4207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Marketing &amp; Sales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BM4800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Organisations &amp; People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BH4105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International Business.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International Business</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Accounting &amp; Financial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BA5812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Global Innovation, Sustainability and Responsibility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BS5014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Managing Across Cultures and Borders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BM5015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Business Analytics and Digital Intelligence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BB5005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p>
        </w:tc>
      </w:tr>
      <w:tr w14:paraId="5D7D13A2"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Contemporary Project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BB5109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in International Business.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International Business</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AI for Business &amp; Innovation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Building Business Strategy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International Operations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International Trade and Markets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BSc International Business.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transitioning from L5 (SVKM’s NMIMS CIS) to L6 (KU), who encounter delays in the Tier 4 visa application process, will be accommodated as much as possible via the late enrolment opportunities at KU (Oct). The last date of L6 enrolment in each year is normally the Monday of the third week of teaching on a course. Any further delays are expected to negatively impact student learning experience, as such students will be directed to request for Interruption of their studies and resume in the next academic year. Students will need to apply using the online system in OSIS. Further information and instruction are available on the University’s Website.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Where an interruption of study is agreed with the Course Leader at KU, the interrupted year will count towards the maximum period of registration on the course and the student can normally only request two consecutive interruptions.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Where students have received a final decision and cannot get a Tier 4 student visa to come to UK for their L6, they will be withdrawn from the course and the subsequent board will make a decision on the qualifying interim exit award.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undertaking the 4-year programme are expected to join a work placement module of minimum 36 weeks duration (including any leaves) and a maximum of 12 months (depending on the Tier 4 visa end date). The employment will normally be on a full-time basis. The Faculty must approve the placement prior to commencement to ensure its suitability. The deadline for placement approval is mid-September. All placements are expected to finish by the course end date. In addition to the modules at Level 4, Level 5 and Level 6, students will complete a professional placement in Year 4.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Successful completion of the Work Placement module is required for the award of the professional placement credits. If a student does not secure a placement or does not complete the placement, they will automatically be transferred to the without placement route.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 xml:space="preserve"> International Business with Professional Placement</w:t>
      </w:r>
    </w:p>
    <w:p w:rsidR="008B5CAF" w:rsidRPr="008B5CAF" w:rsidP="008B5CAF" w14:textId="77777777">
      <w:pPr>
        <w:rPr>
          <w:rFonts w:eastAsia="Arial"/>
        </w:rPr>
      </w:pPr>
    </w:p>
    <w:p w:rsidR="035B6837" w:rsidP="2030048C"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4"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9"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 xml:space="preserve"> International Business with Professional Placement</w:t>
            </w:r>
          </w:p>
        </w:tc>
      </w:tr>
      <w:tr w14:paraId="7FFB693E"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7"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Work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BH6031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textId="1812B43E">
      <w:pPr>
        <w:rPr>
          <w:rFonts w:ascii="Arial" w:eastAsia="Arial" w:hAnsi="Arial" w:cs="Arial"/>
          <w:color w:val="0070C0"/>
          <w:sz w:val="24"/>
          <w:szCs w:val="24"/>
        </w:rPr>
      </w:pPr>
    </w:p>
    <w:p w:rsidR="6DF80A31" w:rsidRPr="2030048C" w:rsidP="2030048C"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Successful completion of the Work Placement module is required for the award of the professional placement credits. If a student does not secure a placement or does not complete the placement, they will automatically be transferred to the without placement route.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on L4 and L5 are supported at SVKM-NMIMS by: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Local Module leader for each module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Course Co-ordinator to help students understand the programme structure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Programme administrator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Personal Tutors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Careers Team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 </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An induction welcome week at the start of the programme at L4  </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Ongoing re-induction sessions at L5 </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Student Voice Committee and Course Representatives  </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Canvas – a versatile on-line interactive intranet and learning environment </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Disabled student support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Students on L6 are supported through a range of services that provide academic and wider support at KU. These include: </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 </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 </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sz w:val="24"/>
          <w:szCs w:val="24"/>
        </w:rPr>
        <w:t>Designated programme administrator in UG admin office </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 </w:t>
      </w:r>
    </w:p>
    <w:p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4"/>
          <w:szCs w:val="24"/>
        </w:rPr>
        <w:t>An induction welcome week at the start of L6 </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 </w:t>
      </w:r>
    </w:p>
    <w:p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 </w:t>
      </w:r>
    </w:p>
    <w:p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 </w:t>
      </w:r>
    </w:p>
    <w:p w:rsidRPr="2030048C" w:rsidP="2030048C">
      <w:pPr>
        <w:numPr>
          <w:ilvl w:val="0"/>
          <w:numId w:val="3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 </w:t>
      </w:r>
    </w:p>
    <w:p w:rsidRPr="2030048C" w:rsidP="2030048C">
      <w:pPr>
        <w:numPr>
          <w:ilvl w:val="0"/>
          <w:numId w:val="36"/>
        </w:numPr>
        <w:ind w:left="720" w:hanging="360"/>
        <w:jc w:val="left"/>
        <w:rPr>
          <w:rFonts w:ascii="Arial" w:eastAsia="Arial" w:hAnsi="Arial" w:cs="Arial"/>
          <w:sz w:val="24"/>
          <w:szCs w:val="24"/>
        </w:rPr>
      </w:pPr>
      <w:r w:rsidRPr="2030048C">
        <w:rPr>
          <w:rFonts w:ascii="Arial" w:eastAsia="Arial" w:hAnsi="Arial" w:cs="Arial"/>
          <w:sz w:val="24"/>
          <w:szCs w:val="24"/>
        </w:rPr>
        <w:t>Disabled student support </w:t>
      </w:r>
    </w:p>
    <w:p w:rsidRPr="2030048C" w:rsidP="2030048C">
      <w:pPr>
        <w:numPr>
          <w:ilvl w:val="0"/>
          <w:numId w:val="37"/>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 </w:t>
      </w:r>
    </w:p>
    <w:p w:rsidRPr="2030048C" w:rsidP="2030048C">
      <w:pPr>
        <w:numPr>
          <w:ilvl w:val="0"/>
          <w:numId w:val="38"/>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 </w:t>
      </w:r>
    </w:p>
    <w:p w:rsidR="3D0EBCB8" w:rsidRPr="2030048C" w:rsidP="2030048C">
      <w:pPr>
        <w:numPr>
          <w:ilvl w:val="0"/>
          <w:numId w:val="39"/>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 </w:t>
      </w:r>
    </w:p>
    <w:p w:rsidR="3D0EBCB8" w:rsidRPr="2030048C" w:rsidP="2030048C">
      <w:pPr>
        <w:numPr>
          <w:ilvl w:val="0"/>
          <w:numId w:val="40"/>
        </w:numPr>
        <w:ind w:left="720" w:hanging="360"/>
        <w:jc w:val="left"/>
        <w:rPr>
          <w:rFonts w:ascii="Arial" w:eastAsia="Arial" w:hAnsi="Arial" w:cs="Arial"/>
          <w:sz w:val="24"/>
          <w:szCs w:val="24"/>
        </w:rPr>
      </w:pPr>
      <w:r w:rsidRPr="2030048C">
        <w:rPr>
          <w:rFonts w:ascii="Arial" w:eastAsia="Arial" w:hAnsi="Arial" w:cs="Arial"/>
          <w:sz w:val="24"/>
          <w:szCs w:val="24"/>
        </w:rPr>
        <w:t>External examiners </w:t>
      </w:r>
    </w:p>
    <w:p w:rsidR="3D0EBCB8" w:rsidRPr="2030048C" w:rsidP="2030048C">
      <w:pPr>
        <w:numPr>
          <w:ilvl w:val="0"/>
          <w:numId w:val="41"/>
        </w:numPr>
        <w:ind w:left="720" w:hanging="360"/>
        <w:jc w:val="left"/>
        <w:rPr>
          <w:rFonts w:ascii="Arial" w:eastAsia="Arial" w:hAnsi="Arial" w:cs="Arial"/>
          <w:sz w:val="24"/>
          <w:szCs w:val="24"/>
        </w:rPr>
      </w:pPr>
      <w:r w:rsidRPr="2030048C">
        <w:rPr>
          <w:rFonts w:ascii="Arial" w:eastAsia="Arial" w:hAnsi="Arial" w:cs="Arial"/>
          <w:sz w:val="24"/>
          <w:szCs w:val="24"/>
        </w:rPr>
        <w:t>Periodic Substantive Review </w:t>
      </w:r>
    </w:p>
    <w:p w:rsidR="3D0EBCB8" w:rsidRPr="2030048C" w:rsidP="2030048C">
      <w:pPr>
        <w:numPr>
          <w:ilvl w:val="0"/>
          <w:numId w:val="42"/>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Informal feedback mechanisms such as Early Module Review (EMR) </w:t>
      </w:r>
    </w:p>
    <w:p w:rsidR="3D0EBCB8" w:rsidRPr="2030048C" w:rsidP="2030048C">
      <w:pPr>
        <w:numPr>
          <w:ilvl w:val="0"/>
          <w:numId w:val="43"/>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 </w:t>
      </w:r>
    </w:p>
    <w:p w:rsidR="3D0EBCB8" w:rsidRPr="2030048C" w:rsidP="2030048C">
      <w:pPr>
        <w:numPr>
          <w:ilvl w:val="0"/>
          <w:numId w:val="44"/>
        </w:numPr>
        <w:ind w:left="720" w:hanging="360"/>
        <w:jc w:val="left"/>
        <w:rPr>
          <w:rFonts w:ascii="Arial" w:eastAsia="Arial" w:hAnsi="Arial" w:cs="Arial"/>
          <w:sz w:val="24"/>
          <w:szCs w:val="24"/>
        </w:rPr>
      </w:pPr>
      <w:r w:rsidRPr="2030048C">
        <w:rPr>
          <w:rFonts w:ascii="Arial" w:eastAsia="Arial" w:hAnsi="Arial" w:cs="Arial"/>
          <w:sz w:val="24"/>
          <w:szCs w:val="24"/>
        </w:rPr>
        <w:t>Institutional governance structures designed to escalate issues that cannot be solved locally.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w:t>
      </w:r>
    </w:p>
    <w:p w:rsidRPr="2030048C" w:rsidP="2030048C">
      <w:pPr>
        <w:rPr>
          <w:rFonts w:ascii="Arial" w:eastAsia="Arial" w:hAnsi="Arial" w:cs="Arial"/>
          <w:sz w:val="24"/>
          <w:szCs w:val="24"/>
        </w:rPr>
      </w:pPr>
      <w:r w:rsidRPr="2030048C">
        <w:rPr>
          <w:rFonts w:ascii="Arial" w:eastAsia="Arial" w:hAnsi="Arial" w:cs="Arial"/>
          <w:sz w:val="24"/>
          <w:szCs w:val="24"/>
        </w:rPr>
        <w:t>QAA Subject benchmarks - Business and Management</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03"/>
        <w:gridCol w:w="231"/>
        <w:gridCol w:w="608"/>
        <w:gridCol w:w="592"/>
        <w:gridCol w:w="592"/>
        <w:gridCol w:w="592"/>
        <w:gridCol w:w="583"/>
        <w:gridCol w:w="592"/>
        <w:gridCol w:w="608"/>
        <w:gridCol w:w="1"/>
        <w:gridCol w:w="582"/>
        <w:gridCol w:w="583"/>
        <w:gridCol w:w="592"/>
        <w:gridCol w:w="583"/>
        <w:gridCol w:w="583"/>
        <w:gridCol w:w="58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BM4800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BB4206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BH4105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BB4207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BS5014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BA5812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BM5015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BS6206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BH6031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BS6002</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Only one intake point - September</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4989B18"/>
    <w:multiLevelType w:val="hybridMultilevel"/>
    <w:tmpl w:val="74989B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74989B19"/>
    <w:multiLevelType w:val="hybridMultilevel"/>
    <w:tmpl w:val="74989B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74989B1A"/>
    <w:multiLevelType w:val="hybridMultilevel"/>
    <w:tmpl w:val="74989B1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nsid w:val="74989B1B"/>
    <w:multiLevelType w:val="hybridMultilevel"/>
    <w:tmpl w:val="74989B1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
    <w:nsid w:val="74989B1C"/>
    <w:multiLevelType w:val="hybridMultilevel"/>
    <w:tmpl w:val="74989B1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4">
    <w:nsid w:val="74989B1D"/>
    <w:multiLevelType w:val="hybridMultilevel"/>
    <w:tmpl w:val="74989B1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5">
    <w:nsid w:val="74989B1E"/>
    <w:multiLevelType w:val="hybridMultilevel"/>
    <w:tmpl w:val="74989B1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6">
    <w:nsid w:val="74989B1F"/>
    <w:multiLevelType w:val="hybridMultilevel"/>
    <w:tmpl w:val="74989B1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7">
    <w:nsid w:val="74989B20"/>
    <w:multiLevelType w:val="hybridMultilevel"/>
    <w:tmpl w:val="74989B2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8">
    <w:nsid w:val="74989B21"/>
    <w:multiLevelType w:val="hybridMultilevel"/>
    <w:tmpl w:val="74989B2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9">
    <w:nsid w:val="74989B22"/>
    <w:multiLevelType w:val="hybridMultilevel"/>
    <w:tmpl w:val="74989B2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0">
    <w:nsid w:val="74989B23"/>
    <w:multiLevelType w:val="hybridMultilevel"/>
    <w:tmpl w:val="74989B2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1">
    <w:nsid w:val="74989B24"/>
    <w:multiLevelType w:val="hybridMultilevel"/>
    <w:tmpl w:val="74989B2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2">
    <w:nsid w:val="74989B25"/>
    <w:multiLevelType w:val="hybridMultilevel"/>
    <w:tmpl w:val="74989B2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3">
    <w:nsid w:val="74989B26"/>
    <w:multiLevelType w:val="hybridMultilevel"/>
    <w:tmpl w:val="74989B2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9F4DE03A-37A9-455D-A307-1F5304C84FDC}"/>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