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23/07/2025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SVKM’s NMIMS CIS (levels 4 and 5), Kingston University (level 6)</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Business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International Business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International Business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UFIBS1IBS21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 xml:space="preserve"> International Business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Business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International Business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International Business with Professional Placement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USIBS1IBS45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SVKM’s NMIMS CIS (levels 4 and 5), Kingston University (level 6)</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Level 4 and Level 5 in SVKM-NMIMS, Mumbai. Level 6 in Kingston Business School (KBS),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100 UCAS Tariff Points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DMM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 Access course with a minimum of 48 credits at level 3 or above including 21 at Merit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Five GCSEs grade A – C, including Maths and English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Indian Qualifications: Standard XII: Higher Secondary School Certificate or Senior School Certificate Examination (CBSE, CISCE, Tamil Nadu, Maharashtra &amp; West Bengal boards) 60% marks AND 70% or above in "English Core", "Functional English", "Elective English"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Standard XII: Higher Secondary School Certificate or Senior School Certificate Examination (other state boards) 65% marks AND 70% or above in "English Core", "Functional English", "Elective English"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Baccalaureate (IB/IBO) 100 points AND 5/7 or above in "English Core", "Functional English", "Elective English"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6.0 TOEFL 80 or equivalent is required for those for whom English is not their first language or do not meet the above English Language requirement.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Entry is at Level 4 with A-level or equivalent qualifications. Intake is normally in September.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 elements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expertise in the principles and practice of global business, enabling them to respond to dynamic international business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competent, enterprising,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develop the right skills and knowledge to meet the evolving demands of current and emerging industry needs and global concerns.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graduate-level employment for business and management roles in all types of global organisations and sectors,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global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areas of business and their interrelationships within an international and cross-cultural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enterprising and questioning mindset to create sustainable value in global business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evaluate international business opportunities to create sustainable value and drive innovation across global markets.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global business functions and external environmental factors interrelate and influence organisational performance in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and evaluate business information and other relevant sources to draw informed conclusions and make sound decisions in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and cross-cultural environments, demonstrating a questioning mindset, empathy, adaptability, and collaboration.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global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global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students on the placement pathway only: 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 mode. Students who study the first two years of the course in SVKM’s NMIMS CIS, Mumbai, take the final year at Kingston University. 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 Organisations &amp; People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BS5014 Global Innovation, Sustainability and Responsibility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Global Innovation, Sustainability and Responsibility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Across Cultures and Borders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Digital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Contemporary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International Business.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for Business &amp;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Trade and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BSc International Business.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transitioning from L5 (SVKM’s NMIMS CIS) to L6 (KU), who encounter delays in the Tier 4 visa application process, will be accommodated as much as possible via the late enrolment opportunities at KU (Oct). The last date of L6 enrolment in each year is normally the Monday of the third week of teaching on a course. Any further delays are expected to negatively impact student learning experience, as such students will be directed to request for Interruption of their studies and resume in the next academic year. Students will need to apply using the online system in OSIS. Further information and instruction are available on the University’s Website.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an interruption of study is agreed with the Course Leader at KU, the interrupted year will count towards the maximum period of registration on the course and the student can normally only request two consecutive interruptions.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students have received a final decision and cannot get a Tier 4 student visa to come to UK for their L6, they will be withdrawn from the course and the subsequent board will make a decision on the qualifying interim exit award.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undertaking the 4-year programme are expected to join a work placement module of minimum 36 weeks duration (including any leaves) and a maximum of 12 months (depending on the Tier 4 visa end date). The employment will normally be on a full-time basis. The Faculty must approve the placement prior to commencement to ensure its suitability. The deadline for placement approval is mid-September. All placements are expected to finish by the course end date. In addition to the modules at Level 4, Level 5 and Level 6, students will complete a professional placement in Year 4.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Successful completion of the Work Placement module is required for the award of the professional placement credits. If a student does not secure a placement or does not complete the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 xml:space="preserve"> International Business with Professional Placement</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 xml:space="preserve"> International Business with Professional Placement</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Successful completion of the Work Placement module is required for the award of the professional placement credits. If a student does not secure a placement or does not complete the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on L4 and L5 are supported at SVKM-NMIMS by: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Local Module leader for each module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Course Co-ordinator to help students understand the programme structure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Programme administrator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Careers Team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An induction welcome week at the start of the programme at L4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Ongoing re-induction sessions at L5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and Course Representatives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on L6 are supported through a range of services that provide academic and wider support at KU. These include: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Designated programme administrator in UG admin office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An induction welcome week at the start of L6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41"/>
        </w:numPr>
        <w:ind w:left="720" w:hanging="360"/>
        <w:jc w:val="left"/>
        <w:rPr>
          <w:rFonts w:ascii="Arial" w:eastAsia="Arial" w:hAnsi="Arial" w:cs="Arial"/>
          <w:sz w:val="24"/>
          <w:szCs w:val="24"/>
        </w:rPr>
      </w:pPr>
      <w:r w:rsidRPr="2030048C">
        <w:rPr>
          <w:rFonts w:ascii="Arial" w:eastAsia="Arial" w:hAnsi="Arial" w:cs="Arial"/>
          <w:sz w:val="24"/>
          <w:szCs w:val="24"/>
        </w:rPr>
        <w:t>Periodic Substantive Review </w:t>
      </w:r>
    </w:p>
    <w:p w:rsidR="3D0EBCB8"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Informal feedback mechanisms such as Early Module Review (EMR) </w:t>
      </w:r>
    </w:p>
    <w:p w:rsidR="3D0EBCB8" w:rsidRPr="2030048C" w:rsidP="2030048C">
      <w:pPr>
        <w:numPr>
          <w:ilvl w:val="0"/>
          <w:numId w:val="4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44"/>
        </w:numPr>
        <w:ind w:left="720" w:hanging="360"/>
        <w:jc w:val="left"/>
        <w:rPr>
          <w:rFonts w:ascii="Arial" w:eastAsia="Arial" w:hAnsi="Arial" w:cs="Arial"/>
          <w:sz w:val="24"/>
          <w:szCs w:val="24"/>
        </w:rPr>
      </w:pPr>
      <w:r w:rsidRPr="2030048C">
        <w:rPr>
          <w:rFonts w:ascii="Arial" w:eastAsia="Arial" w:hAnsi="Arial" w:cs="Arial"/>
          <w:sz w:val="24"/>
          <w:szCs w:val="24"/>
        </w:rPr>
        <w:t>Institutional governance structures designed to escalate issues that cannot be solved locally.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w:t>
      </w:r>
    </w:p>
    <w:p w:rsidRPr="2030048C" w:rsidP="2030048C">
      <w:pPr>
        <w:rPr>
          <w:rFonts w:ascii="Arial" w:eastAsia="Arial" w:hAnsi="Arial" w:cs="Arial"/>
          <w:sz w:val="24"/>
          <w:szCs w:val="24"/>
        </w:rPr>
      </w:pPr>
      <w:r w:rsidRPr="2030048C">
        <w:rPr>
          <w:rFonts w:ascii="Arial" w:eastAsia="Arial" w:hAnsi="Arial" w:cs="Arial"/>
          <w:sz w:val="24"/>
          <w:szCs w:val="24"/>
        </w:rPr>
        <w:t>QAA Subject benchmarks - Business and Management</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3"/>
        <w:gridCol w:w="231"/>
        <w:gridCol w:w="608"/>
        <w:gridCol w:w="592"/>
        <w:gridCol w:w="592"/>
        <w:gridCol w:w="592"/>
        <w:gridCol w:w="583"/>
        <w:gridCol w:w="592"/>
        <w:gridCol w:w="608"/>
        <w:gridCol w:w="1"/>
        <w:gridCol w:w="582"/>
        <w:gridCol w:w="583"/>
        <w:gridCol w:w="592"/>
        <w:gridCol w:w="583"/>
        <w:gridCol w:w="583"/>
        <w:gridCol w:w="58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Only one intake point - September</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4989B25"/>
    <w:multiLevelType w:val="hybridMultilevel"/>
    <w:tmpl w:val="74989B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4989B26"/>
    <w:multiLevelType w:val="hybridMultilevel"/>
    <w:tmpl w:val="74989B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F4DE03A-37A9-455D-A307-1F5304C84FD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