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 University of Applied Sciences GmbH, Germany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International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Higher Education in International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Higher Education International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UFIBM1GIB20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International Business Management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Higher Education in International Business Management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Higher Education International Business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UFIBM1GIB52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Berlin Potsdamer St Campus &amp; Berlin Dessauer Str. Campus,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BSc (Hons) International Business Management with Foundation Year: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English language: Academic IELTS for 5.0 overall (minimum 5.0 in writing and no other skill less than 4.5),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Good high school grades or equivalent (academic entry requirements may differ per country)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BSc (Hons) International Business Management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direct entry onto Level 4 or above: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112-128 UCAS points (to include at least    two A-levels or equivalent           qualifications)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Distinction, Merit, Merit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grades 4 – 9, including           Mathematics and English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6.0 (with no element below 5.5)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Academic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Good high school grades or equivalent (academic entry requirements may differ per country, in conformity to Kingston University’s admissions policy)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Or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GISMA Foundation Route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Entry is normally at Level 4 with A-level or equivalent qualifications (See section D). Transfer from a similar course is possible at Level 5 with passes in comparable Level 4 modules – but is at the discretion of the course team.  Intakes can be formed throughout the academic year.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Note: for students to progress onto Level 4, successful completion of Level 3 modules or applicable GISMA Foundation routes, is mandatory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European Foundation for Management Development (EFMD)</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Variations to Undergraduate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All reassessment is by retake and the number of retakes is limited to 2</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Progression will be automatic, which leads to the possibility of trailing 60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The student will be withdrawn immediately following final fail in a module, at any stage in the academic year.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Variations to Academic Framework: Use of 'options' at level 4 is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has been designed with an employer-, industry- and student- led focus and aims to develop graduates with a strong global business knowledge and skill set, with an additional emphasis on helping students to find their career path. Through the modules and the embedded skills development, it provides students with a direct line of sight to graduate roles, with options that allow students to specialise or retain a broad knowledge base.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International Business Management programme develops students understanding of the international and cultural contexts of how to do business globally and how to work in a multicultural environment. It is attractive to students who are coming from international environments or backgrounds who wish to study in an international cohort, and home students who have a keen interest in working in an international organisation or environment.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International Business Management student will take a journey through understanding global business environments with international cases, work on data and digital business challenges relating to global functions or problems, build their understanding of service mindset in business relationships across functions of global organisations and stakeholders beyond with an emphasis on cross cultural working. They will apply their knowledge to develop effective international marketing programmes and solve world problems relating to sustainable and regenerative business together with other students internationally, analysing business and leadership challenges in multinational contexts. They will have the opportunity to build their future skills profile relevant to potential future careers including e.g., cross-cultural communications or cross-company problem solving. They can also opt to study abroad or take an international placement.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global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global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Analyze key managerial functions and focus on their application in finance, marketing, logistics, entrepreneurship, HR or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and knowledge of management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selected business disciplines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evaluate and develop competencies and qualities to support effective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interpersonal communication skills in a range of generalized and specialized contexts.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The Foundation Year is designed to provide suitable students with a Level 3 programme that enables them to progress to degree pathways offered at GISMA University. The Foundation Year, together with its destination degree pathways, therefore, constitutes an Extended Degree Programme for students. The programme acknowledges that there are many students who have the potential to be successful at degree level but come from a diverse range of backgrounds and previous educational experiences.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distinctive from other Foundation programmes, designed for access to Higher Education, in that it is part of an extended degree programme and is tailored to correspond to various modules at Levels 4 to 6, within Kingston and GISMA Universities.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structure and content of the programme and its individual modules have been carefully designed to allow students to develop the skills and acquire the knowledge necessary to make a successful transition to their chosen related degree pathway at EQF Level 4.  Throughout the programme there is a significant focus placed upon the development of effective study skills to enable students to build their confidence in responding to a wide range of formative and summative assessment methods.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and overseas delivery the availability of option modules may vary from year to year or between teaching blocks.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GISMA modules at levels 5 and 6 that replace Kingston modules allow students to either 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Strategies for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Innovation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Advanced Data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Advanced Topics in 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BK5002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Marketing Strategies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Operations and Supply Chain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Finance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BK5001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Logistics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HRM in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Innovation and Data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Managing New Ventures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Managing Talent and Creativity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The Lean Start-Up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The Marketing Professional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Business Practice, Operations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Business and work experience through a term-long placement are an integral part of the delivery of programmes at GISMA. GISMA has a dedicated placement team to support students in their job-seeking activities.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 The Placements Team has good links with employers with positions available for students, but students are welcome to find their own placements.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pStyle w:val="Heading3"/>
        <w:jc w:val="both"/>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attend a period of study abroad gain a great deal from the experience, particularly learning about different cultures and living in a foreign country. However, to fully benefit from this experience, students may also wish to take a short work internship when they return.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approach to teaching, learning and assessment supports the programme aims to ensure that graduates have the skills and knowledge to secure and thrive in graduate-level employment, research, further study, and lifelong learning.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industry-informed approach to teaching is further underpinned by the approach to assessment, which is, wherever possible, </w:t>
      </w:r>
      <w:r w:rsidRPr="2030048C">
        <w:rPr>
          <w:rFonts w:ascii="Arial" w:eastAsia="Arial" w:hAnsi="Arial" w:cs="Arial"/>
          <w:color w:val="000000"/>
          <w:sz w:val="24"/>
          <w:szCs w:val="24"/>
          <w:shd w:val="clear" w:color="auto" w:fill="FFFFFF"/>
        </w:rPr>
        <w:t>industry relevant and authentic – further preparing our graduates for the tasks and challenges they will face in graduate roles.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those currently in practice, and practice-based staff providing students with connections to industry and the “real world”, research-active staff expose students to the latest research developments.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Presentation skills and group learning are developed throughout the programme to emulate the real-world situations in which our students may find themselves.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To further support students, sessions led by personal tutors are integrated into modules. All Personal Tutors meet with their tutees at the beginning of each term. Students may request additional meetings at any time during the year, with the personal tutor providing or mediating for, module-level support. These sessions will focus on supporting the students in transitioning to, and from, Higher Education and develop skills for success.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International Business programme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At Gisma University, we're passionate about enhancing our students' life chances by helping them make the most of their learning opportunities and equipping them with the future skills and knowledge needed in the 21st Century's demanding workplace. The development of Kingston University’s Future Skills principles are ingrained throughout every year of every course, ensuring you learn employability enhancing skills with your subject.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have two </w:t>
      </w:r>
      <w:r w:rsidRPr="2030048C">
        <w:rPr>
          <w:rFonts w:ascii="Arial" w:eastAsia="Arial" w:hAnsi="Arial" w:cs="Arial"/>
          <w:b/>
          <w:bCs/>
          <w:sz w:val="24"/>
          <w:szCs w:val="24"/>
        </w:rPr>
        <w:t>reassessment</w:t>
      </w:r>
      <w:r w:rsidRPr="2030048C">
        <w:rPr>
          <w:rFonts w:ascii="Arial" w:eastAsia="Arial" w:hAnsi="Arial" w:cs="Arial"/>
          <w:sz w:val="24"/>
          <w:szCs w:val="24"/>
        </w:rPr>
        <w:t xml:space="preserve"> opportunities per module in this degree. </w:t>
      </w:r>
      <w:r w:rsidRPr="2030048C">
        <w:rPr>
          <w:rFonts w:ascii="Arial" w:eastAsia="Arial" w:hAnsi="Arial" w:cs="Arial"/>
          <w:b/>
          <w:bCs/>
          <w:sz w:val="24"/>
          <w:szCs w:val="24"/>
        </w:rPr>
        <w:t xml:space="preserve">Progression </w:t>
      </w:r>
      <w:r w:rsidRPr="2030048C">
        <w:rPr>
          <w:rFonts w:ascii="Arial" w:eastAsia="Arial" w:hAnsi="Arial" w:cs="Arial"/>
          <w:sz w:val="24"/>
          <w:szCs w:val="24"/>
        </w:rPr>
        <w:t xml:space="preserve">from level 4  to level 5 requires attainment of at least 60 credits at Level 4. Progression from level 5 to level 6 requires attainment of at least 60 credits at level 5.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following modules at levels 4 and 5 will be assessed as </w:t>
      </w:r>
      <w:r w:rsidRPr="2030048C">
        <w:rPr>
          <w:rFonts w:ascii="Arial" w:eastAsia="Arial" w:hAnsi="Arial" w:cs="Arial"/>
          <w:b/>
          <w:bCs/>
          <w:sz w:val="24"/>
          <w:szCs w:val="24"/>
        </w:rPr>
        <w:t>Pass/Fail</w:t>
      </w:r>
      <w:r w:rsidRPr="2030048C">
        <w:rPr>
          <w:rFonts w:ascii="Arial" w:eastAsia="Arial" w:hAnsi="Arial" w:cs="Arial"/>
          <w:sz w:val="24"/>
          <w:szCs w:val="24"/>
        </w:rPr>
        <w:t xml:space="preserve"> modules, meaning no percentile mark is to be assigned: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Innovation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Creative Strategies for Work</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Finance for Business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Advanced Topics in Finance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Global Logistics Management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Digital Operations and Supply Chain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Marketing Professional</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Digital Marketing Strategies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Lean Start-up</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New Ventures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HRM in Context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Talent and Creativity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Innovation and Data Science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Advanced Data Science</w:t>
      </w:r>
    </w:p>
    <w:p w:rsidRPr="2030048C" w:rsidP="2030048C">
      <w:pPr>
        <w:jc w:val="both"/>
        <w:rPr>
          <w:rFonts w:ascii="Arial" w:eastAsia="Arial" w:hAnsi="Arial" w:cs="Arial"/>
          <w:sz w:val="24"/>
          <w:szCs w:val="24"/>
        </w:rPr>
      </w:pPr>
      <w:r w:rsidRPr="2030048C">
        <w:rPr>
          <w:rFonts w:ascii="Arial" w:eastAsia="Arial" w:hAnsi="Arial" w:cs="Arial"/>
          <w:b/>
          <w:bCs/>
          <w:sz w:val="24"/>
          <w:szCs w:val="24"/>
        </w:rPr>
        <w:t>Degree classification</w:t>
      </w:r>
      <w:r w:rsidRPr="2030048C">
        <w:rPr>
          <w:rFonts w:ascii="Arial" w:eastAsia="Arial" w:hAnsi="Arial" w:cs="Arial"/>
          <w:sz w:val="24"/>
          <w:szCs w:val="24"/>
        </w:rPr>
        <w:t xml:space="preserve"> is to be calculated as follows: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average % of the best 60 credits at Level 5 which is given a weighting of 20% (multiplied by 0.2)</w:t>
      </w:r>
    </w:p>
    <w:p w:rsidRPr="2030048C" w:rsidP="2030048C">
      <w:pPr>
        <w:jc w:val="both"/>
        <w:rPr>
          <w:rFonts w:ascii="Arial" w:eastAsia="Arial" w:hAnsi="Arial" w:cs="Arial"/>
          <w:sz w:val="24"/>
          <w:szCs w:val="24"/>
        </w:rPr>
      </w:pPr>
      <w:r w:rsidRPr="2030048C">
        <w:rPr>
          <w:rFonts w:ascii="Arial" w:eastAsia="Arial" w:hAnsi="Arial" w:cs="Arial"/>
          <w:sz w:val="24"/>
          <w:szCs w:val="24"/>
        </w:rPr>
        <w:t>plus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average % of the best 105 credits at Level 6 which is given a weighting of 80% (multiplied by 0.8).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Where there are four 30-credit modules, each module is treated as two blocks of 15 credits for the purposes of the calculation.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general administrative aspects such as timetables issues and providing letters.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An Academic Learning Centre. The ALC can provide advice and guidance on academic matters  and hold one-to-one or group sessions to support students in enhancing their study skills.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Centre</w:t>
        </w:r>
      </w:hyperlink>
      <w:r w:rsidRPr="2030048C">
        <w:rPr>
          <w:rFonts w:ascii="Arial" w:eastAsia="Arial" w:hAnsi="Arial" w:cs="Arial"/>
          <w:sz w:val="24"/>
          <w:szCs w:val="24"/>
        </w:rPr>
        <w:t xml:space="preserve"> provides valuable guidance which develop students’ professional skills, supporting them with internships and/or placements and organising careers events.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Student mentors. Mentors are students who have previously studied the modules and provide support and mentoring to newer students.</w:t>
      </w:r>
    </w:p>
    <w:p w:rsidRPr="2030048C" w:rsidP="2030048C">
      <w:pPr>
        <w:numPr>
          <w:ilvl w:val="0"/>
          <w:numId w:val="19"/>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An induction period at the start of the programme to introduce students to the university, university life, what is expected of them, the degree programme and each other.</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4"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5" w:history="1">
        <w:r w:rsidRPr="2030048C">
          <w:rPr>
            <w:rFonts w:ascii="Arial" w:eastAsia="Arial" w:hAnsi="Arial" w:cs="Arial"/>
            <w:sz w:val="24"/>
            <w:szCs w:val="24"/>
          </w:rPr>
          <w:t>GISMA</w:t>
        </w:r>
      </w:hyperlink>
      <w:r w:rsidRPr="2030048C">
        <w:rPr>
          <w:rStyle w:val="MsoHyperlink"/>
          <w:rFonts w:ascii="Arial" w:eastAsia="Arial" w:hAnsi="Arial" w:cs="Arial"/>
          <w:color w:val="0000FF"/>
          <w:sz w:val="24"/>
          <w:szCs w:val="24"/>
          <w:u w:val="single" w:color="0000FF"/>
        </w:rPr>
        <w:t xml:space="preserve"> Language School.</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Staff Student Liaison Committee and course representatives to enable students to feed back to staff about the programme.</w:t>
      </w:r>
    </w:p>
    <w:p w:rsidRPr="2030048C" w:rsidP="2030048C">
      <w:pPr>
        <w:numPr>
          <w:ilvl w:val="0"/>
          <w:numId w:val="19"/>
        </w:numPr>
        <w:ind w:left="720" w:hanging="360"/>
        <w:jc w:val="both"/>
        <w:rPr>
          <w:rFonts w:ascii="Arial" w:eastAsia="Arial" w:hAnsi="Arial" w:cs="Arial"/>
          <w:sz w:val="24"/>
          <w:szCs w:val="24"/>
        </w:rPr>
      </w:pPr>
      <w:hyperlink r:id="rId16"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7"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11"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18"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19" w:history="1">
        <w:r w:rsidRPr="2030048C">
          <w:rPr>
            <w:rFonts w:ascii="Arial" w:eastAsia="Arial" w:hAnsi="Arial" w:cs="Arial"/>
            <w:sz w:val="24"/>
            <w:szCs w:val="24"/>
          </w:rPr>
          <w:t>international student support</w:t>
        </w:r>
      </w:hyperlink>
      <w:r w:rsidRPr="2030048C">
        <w:rPr>
          <w:rFonts w:ascii="Arial" w:eastAsia="Arial" w:hAnsi="Arial" w:cs="Arial"/>
          <w:sz w:val="24"/>
          <w:szCs w:val="24"/>
        </w:rPr>
        <w:t>.</w:t>
      </w:r>
    </w:p>
    <w:p w:rsidRPr="2030048C" w:rsidP="2030048C">
      <w:pPr>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International Office which supports students for and welcomes students to, Germanyand provides support throughout the student’s time at University.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2"/>
        <w:gridCol w:w="287"/>
        <w:gridCol w:w="726"/>
        <w:gridCol w:w="726"/>
        <w:gridCol w:w="757"/>
        <w:gridCol w:w="735"/>
        <w:gridCol w:w="1"/>
        <w:gridCol w:w="736"/>
        <w:gridCol w:w="756"/>
        <w:gridCol w:w="1"/>
        <w:gridCol w:w="736"/>
        <w:gridCol w:w="726"/>
        <w:gridCol w:w="726"/>
        <w:gridCol w:w="7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information-and-technology-services/service-desk-portal/" TargetMode="External"/><Relationship Id="rId18" Type="http://schemas.openxmlformats.org/officeDocument/2006/relationships/hyperlink" Target="https://kingstonuniversity.sharepoint.com/sites/mykingston/mysupport/myaccommodation/Pages/default.aspx" TargetMode="External"/><Relationship Id="rId8" Type="http://schemas.openxmlformats.org/officeDocument/2006/relationships/image" Target="media/image1.png"/><Relationship Id="rId21" Type="http://schemas.openxmlformats.org/officeDocument/2006/relationships/numbering" Target="numbering.xm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s://kingstonuniversity.sharepoint.com/sites/mykingston/mysupport/money/Pages/default.aspx" TargetMode="External"/><Relationship Id="rId7" Type="http://schemas.openxmlformats.org/officeDocument/2006/relationships/customXml" Target="../customXml/item4.xml"/><Relationship Id="rId16" Type="http://schemas.openxmlformats.org/officeDocument/2006/relationships/hyperlink" Target="http://canvas.kingston.ac.uk/" TargetMode="Externa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hyperlink" Target="https://www.kingston.ac.uk/kingston-language-scheme/" TargetMode="External"/><Relationship Id="rId10" Type="http://schemas.openxmlformats.org/officeDocument/2006/relationships/footer" Target="footer1.xml"/><Relationship Id="rId19" Type="http://schemas.openxmlformats.org/officeDocument/2006/relationships/hyperlink" Target="https://kingstonuniversity.sharepoint.com/sites/mykingston/mysupport/international/Pages/default.aspx" TargetMode="External"/><Relationship Id="rId14" Type="http://schemas.openxmlformats.org/officeDocument/2006/relationships/hyperlink" Target="https://kingstonuniversity.sharepoint.com/sites/mykingston/mysupport/ELD/Pages/default.aspx" TargetMode="External"/><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7CCD06F-3E0B-4CE9-BC03-2669D7B0050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