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Financial Economics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Economics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Financial Economics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Financial Economics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Financial Economics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Financial Economics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UPFEC1FEC20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UFFEC1FEC02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L111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n/a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BSc (Hons) Financial Economics offers a broad education in economic theory and policy with a specific focus on the world of finance. It is designed to prepare graduates both for further study in Economics and cognate disciplines and for immediate progression in a wide range of career paths not only in business and the financial sector but also in government and other policy-making bodies.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common with Economics courses at Kingston, it is pluralistic in its openness to different theoretical perspectives. This approach is informed by the breadth of research interests of the teaching staff, which range from mathematical analysis to political economy.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will also be available as a 4 year ‘sandwich’ course with the addition of a placement year. Students taking up this option will be offered support in seeking placements by Careers and Employability Services. In addition, students will come back to Kingston for several ‘Keep in touch’ (KIT) days over the duration of their placement year. KIT days will give students on placement the opportunity to share learning and reflect, whilst also undertaking some professional development training and maintaining contact with their peer group. Students may also choose to study abroad, either in Europe, through the Erasmus scheme, or outside Europe at universities with which Kingston has reciprocal arrangements.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are offered a coherent set of modules intended to provide an enjoyable course of study that both promotes insight into the operation of economic systems and improves employment prospects after graduation. All students are exposed to the core topics of economics and the associated analytical skills, and encouraged to develop skills in problem solving, in reading economic papers, and in using important sources of quantitative and qualitative information, including bibliographic information.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course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from a wide range of backgrounds with a rounded experience of economics as an academic subject;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encourage analytical thinking;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an appreciation of the economic dimensions of wider social and political issues;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with a strong and critical understanding of modern finance and financial markets and institutions;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establish a sound foundation for careers in the wide range of fields in which an economics background is of advantage;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suitable foundation for further study of economics and/or related areas;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equip students to appreciate the contribution of contending theoretical perspectives, and to keep abreast of future developments in the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4</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provides a common foundation for students in which they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introduced to core principles of analysis in macro- and micro-economics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key study skills and begin active personal and professional development planning as part of a small group meeting with a personal tutor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encounter the approaches specific to each of the three single-honours programmes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common identity as a community of economists, regardless of their particular intended specialisation.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have completed Level 4 are thus in a position to change their chosen specialism, if desired, in the light of their developing interests and aptitudes.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Core modules in macro- and micro-economics and quantitative methods at Level 5 are supplemented by the course core module Corporate Finance and Investment, which provides an introduction to modern finance and financial markets and institutions in the context of empirical information about the working of financial markets and trends in the global financial system.</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6, the core course specific module Financial Systems, Crises, and Regulatory Frameworks develops the study of financial systems to consider the mechanics of banking and monetary systems and historical and contemporary challenges to financial stability.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the “capstone” module, Working as an Economist, students write a 5,000-word extended essay on a topic in their specialism. They are supported by a programme of lectures and group workshops designed to build skills in writing and presenting economic analysis that enhance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economic analysis and use that analysis for problem solving and decision making, with particular reference to financial markets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complexity and diversity of , with particular reference to financial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essays, reports, and a critical literature review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economic analysis to issues of government policy and commercial and public sector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abstract thinking and concept building and apply their conceptual knowledge to real world phenomena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software to display, analyse and evaluate economic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quantitative methods and computing techniques and verbal, graphical, mathematical and econometric representation of economic ideas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use it to sustain an argument, formulate and test hypotheses, and reach systematically reasoned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audio visual material appropriately for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the meaning and significance of alternative economic policies within a wider social and political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economic data, and compare and evaluate economic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with peers in group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functioning of financial institutions at both macro- and micro-economic levels, with particular reference to issues of growth and stability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or </w:t>
      </w:r>
      <w:r w:rsidRPr="2030048C">
        <w:rPr>
          <w:rFonts w:ascii="Arial" w:eastAsia="Arial" w:hAnsi="Arial" w:cs="Arial"/>
          <w:color w:val="000000" w:themeColor="text1" w:themeShade="FF" w:themeTint="FF"/>
          <w:sz w:val="24"/>
          <w:szCs w:val="24"/>
        </w:rPr>
        <w:t>part-time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BSc (Hons) </w:t>
      </w:r>
      <w:r w:rsidRPr="2030048C">
        <w:rPr>
          <w:rFonts w:ascii="Arial" w:eastAsia="Arial" w:hAnsi="Arial" w:cs="Arial"/>
          <w:color w:val="000000" w:themeColor="text1" w:themeShade="FF" w:themeTint="FF"/>
          <w:sz w:val="24"/>
          <w:szCs w:val="24"/>
        </w:rPr>
        <w:t>Financial</w:t>
      </w:r>
      <w:r w:rsidRPr="2030048C">
        <w:rPr>
          <w:rFonts w:ascii="Arial" w:eastAsia="Arial" w:hAnsi="Arial" w:cs="Arial"/>
          <w:color w:val="000000" w:themeColor="text1" w:themeShade="FF" w:themeTint="FF"/>
          <w:sz w:val="24"/>
          <w:szCs w:val="24"/>
        </w:rPr>
        <w:t xml:space="preserve"> Economics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equivalent qualifications.</w:t>
      </w:r>
      <w:r w:rsidRPr="2030048C">
        <w:rPr>
          <w:rFonts w:ascii="Arial" w:eastAsia="Arial" w:hAnsi="Arial" w:cs="Arial"/>
          <w:color w:val="000000" w:themeColor="text1" w:themeShade="FF" w:themeTint="FF"/>
          <w:sz w:val="24"/>
          <w:szCs w:val="24"/>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EC4001 Becoming an Economist.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EC5004 Microeconomics.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Financial Economics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Financial Economics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Becoming an Economist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Capitalism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Economic Policy and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Introductory Mathematics and Statistics for Economics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EC4005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tbl>
      <w:tblPr>
        <w:tblStyle w:val="Table"/>
        <w:tblCellSpacing w:w="15" w:type="dxa"/>
        <w:tblCellMar>
          <w:top w:w="15" w:type="dxa"/>
          <w:left w:w="15" w:type="dxa"/>
          <w:bottom w:w="15" w:type="dxa"/>
          <w:right w:w="15" w:type="dxa"/>
        </w:tblCellMar>
        <w:tblLook w:val="05E0"/>
      </w:tblPr>
      <w:tblGrid>
        <w:gridCol w:w="8996"/>
      </w:tblGrid>
      <w:tr>
        <w:tblPrEx>
          <w:tblLook w:val="05E0"/>
        </w:tblPrEx>
        <w:tc>
          <w:tcPr>
            <w:noWrap w:val="0"/>
            <w:tcMar>
              <w:top w:w="15" w:type="dxa"/>
              <w:left w:w="15" w:type="dxa"/>
              <w:bottom w:w="15" w:type="dxa"/>
              <w:right w:w="15" w:type="dxa"/>
            </w:tcMar>
            <w:vAlign w:val="center"/>
            <w:hideMark/>
          </w:tcPr>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Progression to level 5 requires passes in EC4003 and EC4004.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tc>
      </w:tr>
    </w:tbl>
    <w:p w:rsidR="66934EB1" w:rsidP="2030048C" w14:paraId="33FA7816"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Financial Economics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Corporate Finance and Investment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FE5001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Mathematical Economics and Econometrics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Microeconomics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EC5004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Financial Economics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Development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Financial Systems, Crises, and Regulatory Frameworks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FE6005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7</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as an Economist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EC6001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9"/>
        <w:gridCol w:w="234"/>
        <w:gridCol w:w="592"/>
        <w:gridCol w:w="592"/>
        <w:gridCol w:w="592"/>
        <w:gridCol w:w="590"/>
        <w:gridCol w:w="2"/>
        <w:gridCol w:w="592"/>
        <w:gridCol w:w="592"/>
        <w:gridCol w:w="592"/>
        <w:gridCol w:w="572"/>
        <w:gridCol w:w="3"/>
        <w:gridCol w:w="592"/>
        <w:gridCol w:w="592"/>
        <w:gridCol w:w="575"/>
        <w:gridCol w:w="592"/>
        <w:gridCol w:w="58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FE5001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FE6005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EC6010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DABD474-78C2-4B55-AE4A-656FB3502C7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