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Criminology and Criminal Justice</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09/10/2025</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18/12/2024</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02/09/2026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4</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normaltextrun"/>
                <w:rFonts w:ascii="Arial" w:hAnsi="Arial" w:cs="Arial"/>
                <w:b w:val="0"/>
                <w:bCs w:val="0"/>
                <w:color w:val="000000" w:themeColor="text1" w:themeShade="FF" w:themeTint="FF"/>
                <w:sz w:val="24"/>
                <w:szCs w:val="24"/>
                <w:lang w:val="en-GB"/>
              </w:rPr>
              <w:t>N/A</w:t>
            </w: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Law, Social and Behavioural Sciences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Criminology, Politics and Sociology</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Criminology and Criminal Justice</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Criminology and Criminal Justice</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 HE Criminology and Criminal Justice</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 Criminology and Criminal Justice</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UFCCJ1CCJ20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L314</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Criminology and Criminal Justice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Criminology and Criminal Justice</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 HE Criminology and Criminal Justice</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 Criminology and Criminal Justice (with Professional Placement)</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C"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Criminology and Criminal Justice with Foundation Year</w:t>
            </w:r>
          </w:p>
          <w:p w:rsidR="72431AC7" w:rsidP="540725A5" w14:textId="77777777">
            <w:pPr>
              <w:rPr>
                <w:rFonts w:ascii="Arial" w:eastAsia="Arial" w:hAnsi="Arial" w:cs="Arial"/>
                <w:b w:val="0"/>
                <w:bCs w:val="0"/>
                <w:sz w:val="24"/>
                <w:szCs w:val="24"/>
              </w:rPr>
            </w:pPr>
          </w:p>
        </w:tc>
      </w:tr>
      <w:tr w14:paraId="34BB979D"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Criminology and Criminal Justice</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 HE Criminology and Criminal Justice</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 Criminology and Criminal Justice</w:t>
            </w:r>
            <w:r>
              <w:br/>
            </w:r>
          </w:p>
        </w:tc>
      </w:tr>
      <w:tr w14:paraId="2A120394"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r w14:paraId="78C565EA"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7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8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N/A</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792E11A3" w:rsidP="158602C4" w14:paraId="155FC85F"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BSc (Hons) Criminology and Criminal Justice programme is a comprehensive course designed for students interested in the study of criminology, with a key emphasis on those wishing to pursue a career within the field of criminal justice and beyond.   It provides students with an in-depth understanding of a broad range of issues including: the social, legal and cultural meanings of crime; crime problem(s) and the processes of criminalisation; the causes and organisation of crime and deviance at individual, group, community, and state levels; harm, victimisation and social justice; official and unofficial responses to preventing and managing crime; criminal justice agencies and work; social control and policing; the law, probation, prisons and punishment.  These fundamental areas are explored through a critical and career-focused lens, with theoretical approaches informing and supporting practical applications and implementations to prepare and equip students for professional life outside academia. Alongside this, through the Future Skills programme, the course emphasizes the development of university graduate attributes, including: an ability to engage in creative problem solving; having a questioning mindset; being enterprising; the ability to work collaboratively; digital competency; and the qualities of adaptability: resilience, empathy and self-awareness.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Additionally, the BSc (Hons) Criminology and Criminal Justice (with professional placement) will: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an opportunity for students to gain valuable experience of working in an organisation for an extended period of time. The types of settings in which the placement occurs will include organisations and/ or institutions in the private, public or third sectors.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Enable students to understand and articulate the link between subject knowledge and skills gained from their course and the realities of the working world.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and communicate a comprehensive knowledge of the institutions, processes, principles and legal foundations of the Criminal Justice System in England and Wales.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Describe and analyse information, data, and evidence in relation to crime, victimisation, criminal justice and related areas.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Apply appropriate and creative use of digital communication in academic and professional practice.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critical understanding of key concepts and theoretical approaches which have been developed in relation to understanding crime, victimisation, harm and responses to crime.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contextualise, and critically evaluate social and criminological problems and policies.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Collect, read, select, extract, and collate information from a range of primary and secondary sources including written, spoken, or other appropriate sources.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the construction and influence of representations of crime and describe societal problems associated with crime, harm and crime control.</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Deconstruct, explain, and critically evaluate theoretical concepts, ideas, and arguments as they pertain to the subject areas.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Produce and communicate data and evidence in a range of formats for both academic and professional audiences.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local, national, and international contexts of crime, victimisation, and policy responses.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Formulate questions, undertake systematic management of empirical data and complex factual information and develop problem solving solutions.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Develop effective interpersonal and team working skills.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detailed understanding of the methods and principles of social research as applicable to criminology and criminal justice topics, and of the ethical principles governing such research.</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Construct clear, logical, and critically informed argument.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the ability to be independent and autonomous learners and to engage in reflective practice to support future career ambitions.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Pr="2030048C" w:rsidP="2030048C">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Whilst the intention to develop these attributes feature within all of our modules, they are purposively embedded into the following modules, </w:t>
      </w:r>
    </w:p>
    <w:p w:rsidRPr="2030048C" w:rsidP="2030048C">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SO4006 - Introduction to Research Methods (Navigate) </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CM5012 - Researching Social Problems (Explore) </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AX6001 - (Apply) </w:t>
      </w:r>
    </w:p>
    <w:p w:rsidRPr="2030048C" w:rsidP="2030048C">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programme is informed and underpinned by the spiral curriculum with content, knowledge and skills spiralled throughout and across the curriculum at every stage. Here students re-engage with key topics progressively over their course of study. Each time a student returns to a topic, the module content increases in complexity, depth and breadth. In this way, students both consolidate their prior knowledge and building on it over time.  In line with developing a more inclusive curriculum the programme intentionally exposes students progressively to debates within criminology and criminal justice within a global setting. It gives students exposure to the various criminal justice agencies and encourages employer and real-world engagement in a variety of ways.  It also actively connects the curriculum and student learning to the UN Sustainable Development Goals.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Students on the 'with Foundation Year' route should refer to the Foundation Year in Social and Behavioural Sciences Programme Specification for details of the level 3/first year modules.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Students can progress from one level to the next with 30 credits trailing but they must pass the failed credits before progressing to the next level. This includes progressing to the placement year.</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Criminology and Criminal Justice</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Criminology and Criminal Justice</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Crime, Law and Justice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CM4002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Exploring Crime and Deviance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CM4006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Foundations in Criminological Theory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CM4001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Research Methods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SO4006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course at this point who have successfully completed 120 credits at level 4 or above are eligible for the award of Certificate of Higher Education.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Criminology and Criminal Justice</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Crime, Media and Culture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CM5021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Criminal Justice: Policing and Punishment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CM5016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Researching Social Problems (Explore)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CM5012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Victims, Harm and Justice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CM5022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ED519C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1FC664C" w14:textId="03C15C9E">
            <w:pPr>
              <w:rPr>
                <w:rFonts w:ascii="Arial" w:eastAsia="Arial" w:hAnsi="Arial" w:cs="Arial"/>
                <w:sz w:val="24"/>
                <w:szCs w:val="24"/>
              </w:rPr>
            </w:pPr>
            <w:r w:rsidRPr="7AD52F4D" w:rsidR="06A3B627">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A2434B1" w14:textId="0EA4E7AA">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6C534" w14:textId="783B089B">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D46A005" w14:textId="49262EB7">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DB59B4E" w14:textId="44FA361C">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7BECB" w14:textId="151C3355">
            <w:pPr>
              <w:jc w:val="center"/>
              <w:rPr>
                <w:rFonts w:ascii="Arial" w:eastAsia="Arial" w:hAnsi="Arial" w:cs="Arial"/>
                <w:sz w:val="24"/>
                <w:szCs w:val="24"/>
              </w:rPr>
            </w:pP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44984E" w14:textId="7C66223A">
            <w:pPr>
              <w:jc w:val="center"/>
              <w:rPr>
                <w:rFonts w:ascii="Arial" w:eastAsia="Arial" w:hAnsi="Arial" w:cs="Arial"/>
                <w:sz w:val="24"/>
                <w:szCs w:val="24"/>
              </w:rPr>
            </w:pP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5847AB7" w14:textId="72CBD8C5">
            <w:pPr>
              <w:jc w:val="center"/>
              <w:rPr>
                <w:rFonts w:ascii="Arial" w:eastAsia="Arial" w:hAnsi="Arial" w:cs="Arial"/>
                <w:sz w:val="24"/>
                <w:szCs w:val="24"/>
              </w:rPr>
            </w:pPr>
          </w:p>
        </w:tc>
      </w:tr>
      <w:tr w14:paraId="5D7D13A1"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B1728E1" w14:textId="0EF531FA">
            <w:pPr>
              <w:rPr>
                <w:rFonts w:ascii="Arial" w:eastAsia="Arial" w:hAnsi="Arial" w:cs="Arial"/>
                <w:sz w:val="24"/>
                <w:szCs w:val="24"/>
                <w:lang w:val="en-GB"/>
              </w:rPr>
            </w:pPr>
            <w:r w:rsidRPr="2030048C" w:rsidR="073AEBF5">
              <w:rPr>
                <w:rFonts w:ascii="Arial" w:eastAsia="Arial" w:hAnsi="Arial" w:cs="Arial"/>
                <w:sz w:val="24"/>
                <w:szCs w:val="24"/>
                <w:lang w:val="en-GB"/>
              </w:rPr>
              <w:t>Work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CF6C762"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PN5003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CFEC962"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B2F918E"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8E3ACBA"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AD489F6"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BBE4BE"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7BB90B" w14:textId="31F07BCA">
            <w:pPr>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For students on the placement route, the successful completion of PN5001 will be required for the award of the professional placement credits. If a student does not secure a placement or does not complete the professional placement, they will automatically be transferred to the without placement route.</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Criminology and Criminal Justice</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Global Crime and Justice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CM6025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Research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CM6030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Risk, Crime and Control in the Digital Age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CM6026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Youth Crime and Justice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CM6029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Ordinary Degree (BSc).</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Criminology and Criminal Justice with Professional Placement</w:t>
      </w:r>
    </w:p>
    <w:p w:rsidR="008B5CAF" w:rsidRPr="008B5CAF" w:rsidP="008B5CAF" w14:textId="77777777">
      <w:pPr>
        <w:rPr>
          <w:rFonts w:eastAsia="Arial"/>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Criminology and Criminal Justice with Foundation Year</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 </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Laboratory Sessions </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Lectures </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Seminars </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Tutorials </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Workshops </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Placements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 </w:t>
      </w:r>
    </w:p>
    <w:p w:rsidRPr="2030048C" w:rsidP="2030048C">
      <w:pPr>
        <w:rPr>
          <w:rFonts w:ascii="Arial" w:eastAsia="Arial" w:hAnsi="Arial" w:cs="Arial"/>
          <w:sz w:val="24"/>
          <w:szCs w:val="24"/>
        </w:rPr>
      </w:pPr>
      <w:r w:rsidRPr="2030048C">
        <w:rPr>
          <w:rFonts w:ascii="Arial" w:eastAsia="Arial" w:hAnsi="Arial" w:cs="Arial"/>
          <w:sz w:val="24"/>
          <w:szCs w:val="24"/>
        </w:rPr>
        <w: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 </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 </w:t>
      </w:r>
    </w:p>
    <w:p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 Personal tutors are a key point of contact for support on the Future Skills programme across Navigate, Explore and Apply. </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 </w:t>
      </w:r>
    </w:p>
    <w:p w:rsidRPr="2030048C" w:rsidP="2030048C">
      <w:pPr>
        <w:numPr>
          <w:ilvl w:val="0"/>
          <w:numId w:val="28"/>
        </w:numPr>
        <w:ind w:left="720" w:hanging="360"/>
        <w:jc w:val="left"/>
        <w:rPr>
          <w:rFonts w:ascii="Arial" w:eastAsia="Arial" w:hAnsi="Arial" w:cs="Arial"/>
          <w:sz w:val="24"/>
          <w:szCs w:val="24"/>
        </w:rPr>
      </w:pPr>
      <w:r w:rsidRPr="2030048C">
        <w:rPr>
          <w:rFonts w:ascii="Arial" w:eastAsia="Arial" w:hAnsi="Arial" w:cs="Arial"/>
          <w:sz w:val="24"/>
          <w:szCs w:val="24"/>
        </w:rPr>
        <w:t>Course Representative and Student Voice Committee – to ensure the views of students are heard </w:t>
      </w:r>
    </w:p>
    <w:p w:rsidRPr="2030048C" w:rsidP="2030048C">
      <w:pPr>
        <w:numPr>
          <w:ilvl w:val="0"/>
          <w:numId w:val="29"/>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 </w:t>
      </w:r>
    </w:p>
    <w:p w:rsidRPr="2030048C" w:rsidP="2030048C">
      <w:pPr>
        <w:numPr>
          <w:ilvl w:val="0"/>
          <w:numId w:val="30"/>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 </w:t>
      </w:r>
    </w:p>
    <w:p w:rsidRPr="2030048C" w:rsidP="2030048C">
      <w:pPr>
        <w:numPr>
          <w:ilvl w:val="0"/>
          <w:numId w:val="31"/>
        </w:numPr>
        <w:ind w:left="720" w:hanging="360"/>
        <w:jc w:val="left"/>
        <w:rPr>
          <w:rFonts w:ascii="Arial" w:eastAsia="Arial" w:hAnsi="Arial" w:cs="Arial"/>
          <w:sz w:val="24"/>
          <w:szCs w:val="24"/>
        </w:rPr>
      </w:pPr>
      <w:r w:rsidRPr="2030048C">
        <w:rPr>
          <w:rFonts w:ascii="Arial" w:eastAsia="Arial" w:hAnsi="Arial" w:cs="Arial"/>
          <w:sz w:val="24"/>
          <w:szCs w:val="24"/>
        </w:rPr>
        <w:t>Disabled student support </w:t>
      </w:r>
    </w:p>
    <w:p w:rsidRPr="2030048C" w:rsidP="2030048C">
      <w:pPr>
        <w:numPr>
          <w:ilvl w:val="0"/>
          <w:numId w:val="32"/>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 </w:t>
      </w:r>
    </w:p>
    <w:p w:rsidRPr="2030048C" w:rsidP="2030048C">
      <w:pPr>
        <w:numPr>
          <w:ilvl w:val="0"/>
          <w:numId w:val="33"/>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 </w:t>
      </w:r>
    </w:p>
    <w:p w:rsidRPr="2030048C" w:rsidP="2030048C">
      <w:pPr>
        <w:numPr>
          <w:ilvl w:val="0"/>
          <w:numId w:val="34"/>
        </w:numPr>
        <w:ind w:left="720" w:hanging="360"/>
        <w:jc w:val="left"/>
        <w:rPr>
          <w:rFonts w:ascii="Arial" w:eastAsia="Arial" w:hAnsi="Arial" w:cs="Arial"/>
          <w:sz w:val="24"/>
          <w:szCs w:val="24"/>
        </w:rPr>
      </w:pPr>
      <w:r w:rsidRPr="2030048C">
        <w:rPr>
          <w:rFonts w:ascii="Arial" w:eastAsia="Arial" w:hAnsi="Arial" w:cs="Arial"/>
          <w:sz w:val="24"/>
          <w:szCs w:val="24"/>
        </w:rPr>
        <w:t>Departmental induction and re-induction programme at start of academic year </w:t>
      </w:r>
    </w:p>
    <w:p w:rsidRPr="2030048C" w:rsidP="2030048C">
      <w:pPr>
        <w:numPr>
          <w:ilvl w:val="0"/>
          <w:numId w:val="35"/>
        </w:numPr>
        <w:ind w:left="720" w:hanging="360"/>
        <w:jc w:val="left"/>
        <w:rPr>
          <w:rFonts w:ascii="Arial" w:eastAsia="Arial" w:hAnsi="Arial" w:cs="Arial"/>
          <w:sz w:val="24"/>
          <w:szCs w:val="24"/>
        </w:rPr>
      </w:pPr>
      <w:r w:rsidRPr="2030048C">
        <w:rPr>
          <w:rFonts w:ascii="Arial" w:eastAsia="Arial" w:hAnsi="Arial" w:cs="Arial"/>
          <w:sz w:val="24"/>
          <w:szCs w:val="24"/>
        </w:rPr>
        <w:t>Social Science Café which delivers a range of events to enhance community belonging </w:t>
      </w:r>
    </w:p>
    <w:p w:rsidRPr="2030048C" w:rsidP="2030048C">
      <w:pPr>
        <w:numPr>
          <w:ilvl w:val="0"/>
          <w:numId w:val="36"/>
        </w:numPr>
        <w:ind w:left="720" w:hanging="360"/>
        <w:jc w:val="left"/>
        <w:rPr>
          <w:rFonts w:ascii="Arial" w:eastAsia="Arial" w:hAnsi="Arial" w:cs="Arial"/>
          <w:sz w:val="24"/>
          <w:szCs w:val="24"/>
        </w:rPr>
      </w:pPr>
      <w:r w:rsidRPr="2030048C">
        <w:rPr>
          <w:rFonts w:ascii="Arial" w:eastAsia="Arial" w:hAnsi="Arial" w:cs="Arial"/>
          <w:sz w:val="24"/>
          <w:szCs w:val="24"/>
        </w:rPr>
        <w:t>Departmental Employability and Placement Lead to support and encourage student volunteering and employability aspirations </w:t>
      </w:r>
    </w:p>
    <w:p w:rsidRPr="2030048C" w:rsidP="2030048C">
      <w:pPr>
        <w:numPr>
          <w:ilvl w:val="0"/>
          <w:numId w:val="37"/>
        </w:numPr>
        <w:ind w:left="720" w:hanging="360"/>
        <w:jc w:val="left"/>
        <w:rPr>
          <w:rFonts w:ascii="Arial" w:eastAsia="Arial" w:hAnsi="Arial" w:cs="Arial"/>
          <w:sz w:val="24"/>
          <w:szCs w:val="24"/>
        </w:rPr>
      </w:pPr>
      <w:r w:rsidRPr="2030048C">
        <w:rPr>
          <w:rFonts w:ascii="Arial" w:eastAsia="Arial" w:hAnsi="Arial" w:cs="Arial"/>
          <w:sz w:val="24"/>
          <w:szCs w:val="24"/>
        </w:rPr>
        <w:t>Departmental Internationalisation Lead to support students in accessing and undertaking global learning opportunities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 </w:t>
      </w:r>
    </w:p>
    <w:p w:rsidR="3D0EBCB8" w:rsidRPr="2030048C" w:rsidP="2030048C">
      <w:pPr>
        <w:numPr>
          <w:ilvl w:val="0"/>
          <w:numId w:val="38"/>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 </w:t>
      </w:r>
    </w:p>
    <w:p w:rsidR="3D0EBCB8" w:rsidRPr="2030048C" w:rsidP="2030048C">
      <w:pPr>
        <w:numPr>
          <w:ilvl w:val="0"/>
          <w:numId w:val="39"/>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 </w:t>
      </w:r>
    </w:p>
    <w:p w:rsidR="3D0EBCB8" w:rsidRPr="2030048C" w:rsidP="2030048C">
      <w:pPr>
        <w:numPr>
          <w:ilvl w:val="0"/>
          <w:numId w:val="40"/>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QAA Subject benchmarks in Criminology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080"/>
        <w:gridCol w:w="226"/>
        <w:gridCol w:w="596"/>
        <w:gridCol w:w="580"/>
        <w:gridCol w:w="596"/>
        <w:gridCol w:w="595"/>
        <w:gridCol w:w="1"/>
        <w:gridCol w:w="596"/>
        <w:gridCol w:w="596"/>
        <w:gridCol w:w="596"/>
        <w:gridCol w:w="594"/>
        <w:gridCol w:w="2"/>
        <w:gridCol w:w="596"/>
        <w:gridCol w:w="596"/>
        <w:gridCol w:w="596"/>
        <w:gridCol w:w="571"/>
        <w:gridCol w:w="593"/>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CM4006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SO4006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CM4002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CM4001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CM5021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CM5012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CM5016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CM5022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CM6029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CM6030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CM6025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CM6026</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4989B11"/>
    <w:multiLevelType w:val="hybridMultilevel"/>
    <w:tmpl w:val="74989B1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74989B12"/>
    <w:multiLevelType w:val="hybridMultilevel"/>
    <w:tmpl w:val="74989B1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74989B13"/>
    <w:multiLevelType w:val="hybridMultilevel"/>
    <w:tmpl w:val="74989B1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74989B14"/>
    <w:multiLevelType w:val="hybridMultilevel"/>
    <w:tmpl w:val="74989B1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
    <w:nsid w:val="74989B15"/>
    <w:multiLevelType w:val="hybridMultilevel"/>
    <w:tmpl w:val="74989B1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
    <w:nsid w:val="74989B16"/>
    <w:multiLevelType w:val="hybridMultilevel"/>
    <w:tmpl w:val="74989B1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
    <w:nsid w:val="74989B17"/>
    <w:multiLevelType w:val="hybridMultilevel"/>
    <w:tmpl w:val="74989B1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9">
    <w:nsid w:val="74989B18"/>
    <w:multiLevelType w:val="hybridMultilevel"/>
    <w:tmpl w:val="74989B1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0">
    <w:nsid w:val="74989B19"/>
    <w:multiLevelType w:val="hybridMultilevel"/>
    <w:tmpl w:val="74989B1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1">
    <w:nsid w:val="74989B1A"/>
    <w:multiLevelType w:val="hybridMultilevel"/>
    <w:tmpl w:val="74989B1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2">
    <w:nsid w:val="74989B1B"/>
    <w:multiLevelType w:val="hybridMultilevel"/>
    <w:tmpl w:val="74989B1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3">
    <w:nsid w:val="74989B1C"/>
    <w:multiLevelType w:val="hybridMultilevel"/>
    <w:tmpl w:val="74989B1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4">
    <w:nsid w:val="74989B1D"/>
    <w:multiLevelType w:val="hybridMultilevel"/>
    <w:tmpl w:val="74989B1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5">
    <w:nsid w:val="74989B1E"/>
    <w:multiLevelType w:val="hybridMultilevel"/>
    <w:tmpl w:val="74989B1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6">
    <w:nsid w:val="74989B1F"/>
    <w:multiLevelType w:val="hybridMultilevel"/>
    <w:tmpl w:val="74989B1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7">
    <w:nsid w:val="74989B20"/>
    <w:multiLevelType w:val="hybridMultilevel"/>
    <w:tmpl w:val="74989B2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8">
    <w:nsid w:val="74989B21"/>
    <w:multiLevelType w:val="hybridMultilevel"/>
    <w:tmpl w:val="74989B2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9">
    <w:nsid w:val="74989B22"/>
    <w:multiLevelType w:val="hybridMultilevel"/>
    <w:tmpl w:val="74989B2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134C0588-3049-4E11-BA20-42F33BFF0A67}"/>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