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 Marketing and Advertising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Placement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 with Placement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 with Placement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 with Placement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USMKA1MKA45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course offers an exciting and challenging programme of study to learners wishing to specialise and pursue careers in advertising, social media strategy, marketing communications, public relations, and digital marketing. Emphasis is on both the theoretical understanding and practical application marketing and advertising in an increasingly digital landscape. For this reason, the programme is designed with an employer-, industry- and student- led focus aimed at producing graduates who are sought after for their skills, knowledge and ability to innovate in the practice of marketing. Students immerse into a creatively-led and technologically- driven journey of experiential learning by discovery, supported and facilitated by renowned scholars and practitioners in marketing and advertising with industry links to leading product and service brands.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exists as part of a suite of undergraduate marketing programmes and students may study alongside students on the BSc (Hons) Marketing course.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explicit intention is employability, and so the curriculum is underpinned by the future skills most desired by today’s employers. Learners are trained to think critically and analytically their approach to real-world marketing communications problems and the implementation of well-ground and creative strategies and campaigns.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Marketing and Advertising student will acquire practical knowledge and understanding of the principles, business, output of contemporary marketing alongside developing the mindset of the marketer or communications professional they envision becoming in the future. This is facilitated by exposure and interaction with real practitioners that work across the communications spectrum. Students untangle and come to grips with the art and science of marketing communications, examining the who, what, why, when and how of connecting with and communicating with consumers in a post digital landscape.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Considerable focus is given to developing student understanding of the principles and theories that underpin the communications process. This includes to use of market research and gaining customer insights at each stage of an integrate communications plan. AI (artificial intelligence) is also taken into consideration given the proliferation of technology in this market sector. Notably the use of AI and its application in using big data to target and manage customers for competitive advantage is explored. The use of AI in creative development and design is also given consideration.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Through experiential learning and interactions with real clients, students gain a practical know-how of the strategic elements used in the development and management of brands, alongside getting a first-hand experience of how theory is applied for strategic decision-making as a product, service or brand manager. This is extended beyond the ‘client side’ realm with a perspective on what happens to a brand at the point of hand-off between brand custodian (client) and agency. Managing this interaction and seeking mutual benefit is a key part of the skills development deployed in this instance. The differentiator of this Marketing and Advertising program is the confluence of marketing knowledge, skills and experience and using this as a platform from which to plan, structure, target, develop and measure the outward communication expression.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Kingston Business School BRAINS lab provides the environment for students to experiment with the technologies brands use to decipher consumer behaviour and create and deliver customer value. Exploring the development of social media strategies enables students to appreciate the benefits and parameters of different platforms, and advance their specialism in planning, developing and leading social media campaigns from both a tactical and strategic point of view. The programme culminates with a capstone module purposefully designed to personalise student learning, demonstrating the skills acquired through a tangible portfolio of work.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the modules and the embedded skills development, the course provides students with a direct line of sight to graduate roles, with options that allow students to specialise or retain a broad knowledge base.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u w:val="single"/>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in-depth knowledge and understanding of the key theories and practices employed in modern marketing communications and advertising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the intellectual capacity and practical experience needed to appraise and offer solutions to complex marketing communications and advertising problems.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responsible marketing graduates with the relevant skills and attributes for graduate-level employment, further study and lifelong learning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acquire technical qualifications and connections to industry.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critically the internal and external environmental environment in the context of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complex marketing and advertising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 to create and communicate value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critical understanding of the key areas of marketing and advertising and their relationship with other business functions to influence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marketing communications data and analytics to identify business problems and offer evidence-based marketing and advertising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practical understanding of appropriate approaches and strategies used in the contemporary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marketing communications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Draw upon appropriate marketing and advertising theories and frameworks to recommend a range of creative marketing and advertising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marketing and advertising problems and opportunities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for the</w:t>
      </w:r>
      <w:r w:rsidRPr="2030048C">
        <w:rPr>
          <w:rFonts w:ascii="Arial" w:eastAsia="Arial" w:hAnsi="Arial" w:cs="Arial"/>
          <w:color w:val="000000" w:themeColor="text1" w:themeShade="FF" w:themeTint="FF"/>
          <w:sz w:val="24"/>
          <w:szCs w:val="24"/>
        </w:rPr>
        <w:t> Foundation Year in Business</w:t>
      </w:r>
      <w:r w:rsidRPr="2030048C">
        <w:rPr>
          <w:rFonts w:ascii="Arial" w:eastAsia="Arial" w:hAnsi="Arial" w:cs="Arial"/>
          <w:color w:val="000000" w:themeColor="text1" w:themeShade="FF" w:themeTint="FF"/>
          <w:sz w:val="22"/>
          <w:szCs w:val="22"/>
        </w:rPr>
        <w:t>, please see Programme Specification on CMS.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specification is for level 4 students in 24/25 progressing to level 5 in Sept 25</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Business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Outputs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Principles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progressing to level 5 in September 2025 will complete the diet below:</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 and Advertising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Advertising Tools, Techniques and Technologies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 Research and Behavioural Insights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Across Cultures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at level 4 in 24/25 progressing to level 6 in September 2026 will complete the diet below in academic year 26/27</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Brands, Buyers and Behaviours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My Marketing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who achieve 300 credits at level 4 or above, of which at least 180 credits are at level 5 or above and of which at least 60 credits are at level 6 or above, may be awarded a Ordinary (Non-Honours)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Placement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54"/>
        <w:gridCol w:w="242"/>
        <w:gridCol w:w="637"/>
        <w:gridCol w:w="637"/>
        <w:gridCol w:w="637"/>
        <w:gridCol w:w="636"/>
        <w:gridCol w:w="1"/>
        <w:gridCol w:w="637"/>
        <w:gridCol w:w="637"/>
        <w:gridCol w:w="637"/>
        <w:gridCol w:w="635"/>
        <w:gridCol w:w="2"/>
        <w:gridCol w:w="610"/>
        <w:gridCol w:w="637"/>
        <w:gridCol w:w="637"/>
        <w:gridCol w:w="63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081613-08FC-484B-9A84-CA8F3DC41E2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