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Marketing and Advertising</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31/08/2017</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17/04/2025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 xml:space="preserve">Teaching Out </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11</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Business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Strategy, Marketing and Innovation</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Marketing and Advertising</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BSc in Marketing and Advertising</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Diploma of Higher Education in Marketing and Advertising</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Certificate of Higher Education in Marketing and Advertising</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UFMKA1MKA20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N120 (3 years)</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Marketing and Advertising with Placement year</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BSc Marketing and Advertising with Placement year</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Diploma of Higher Education in Marketing and Advertising with Placement year</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Certificate of Higher Education in Marketing and Advertising with Placement year</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USMKA1MKA45</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C"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Marketing and Advertising with Foundation year</w:t>
            </w:r>
          </w:p>
          <w:p w:rsidR="72431AC7" w:rsidP="540725A5" w14:textId="77777777">
            <w:pPr>
              <w:rPr>
                <w:rFonts w:ascii="Arial" w:eastAsia="Arial" w:hAnsi="Arial" w:cs="Arial"/>
                <w:b w:val="0"/>
                <w:bCs w:val="0"/>
                <w:sz w:val="24"/>
                <w:szCs w:val="24"/>
              </w:rPr>
            </w:pPr>
          </w:p>
        </w:tc>
      </w:tr>
      <w:tr w14:paraId="34BB979D"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BSc Marketing and Advertising with Foundation year</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Diploma of Higher Education in Marketing and Advertising with Foundation year</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Certificate of Higher Education in Marketing and Advertising with Foundation year</w:t>
            </w:r>
            <w:r>
              <w:br/>
            </w:r>
          </w:p>
        </w:tc>
      </w:tr>
      <w:tr w14:paraId="2A120394"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UFMKA1MKA55</w:t>
            </w:r>
          </w:p>
        </w:tc>
      </w:tr>
      <w:tr w14:paraId="78C565EA"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Faculty of Business and Social Sciences, Kingston Business School, Kingston Hill</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7</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8</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Association for the Advancement of Collegiate Schools of Business (AACSB)</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jc w:val="both"/>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N/A</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This course offers an exciting and challenging programme of study to learners wishing to specialise and pursue careers in advertising, social media strategy, marketing communications, public relations, and digital marketing. Emphasis is on both the theoretical understanding and practical application marketing and advertising in an increasingly digital landscape. For this reason, the programme is designed with an employer-, industry- and student- led focus aimed at producing graduates who are sought after for their skills, knowledge and ability to innovate in the practice of marketing. Students immerse into a creatively-led and technologically- driven journey of experiential learning by discovery, supported and facilitated by renowned scholars and practitioners in marketing and advertising with industry links to leading product and service brands.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programme exists as part of a suite of undergraduate marketing programmes and students may study alongside students on the BSc (Hons) Marketing course.</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An explicit intention is employability, and so the curriculum is underpinned by the future skills most desired by today’s employers. Learners are trained to think critically and analytically their approach to real-world marketing communications problems and the implementation of well-ground and creative strategies and campaigns.</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 BSc (Hons) Marketing and Advertising student will acquire practical knowledge and understanding of the principles, business, output of contemporary marketing alongside developing the mindset of the marketer or communications professional they envision becoming in the future. This is facilitated by exposure and interaction with real practitioners that work across the communications spectrum. Students untangle and come to grips with the art and science of marketing communications, examining the who, what, why, when and how of connecting with and communicating with consumers in a post digital landscape.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Considerable focus is given to developing student understanding of the principles and theories that underpin the communications process. This includes to use of market research and gaining customer insights at each stage of an integrate communications plan. AI (artificial intelligence) is also taken into consideration given the proliferation of technology in this market sector. Notably the use of AI and its application in using big data to target and manage customers for competitive advantage is explored. The use of AI in creative development and design is also given consideration.</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Through experiential learning and interactions with real clients, students gain a practical know-how of the strategic elements used in the development and management of brands, alongside getting a first-hand experience of how theory is applied for strategic decision-making as a product, service or brand manager. This is extended beyond the ‘client side’ realm with a perspective on what happens to a brand at the point of hand-off between brand custodian (client) and agency. Managing this interaction and seeking mutual benefit is a key part of the skills development deployed in this instance. The differentiator of this Marketing and Advertising program is the confluence of marketing knowledge, skills and experience and using this as a platform from which to plan, structure, target, develop and measure the outward communication expression.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Kingston Business School BRAINS lab provides the environment for students to experiment with the technologies brands use to decipher consumer behaviour and create and deliver customer value. Exploring the development of social media strategies enables students to appreciate the benefits and parameters of different platforms, and advance their specialism in planning, developing and leading social media campaigns from both a tactical and strategic point of view. The programme culminates with a capstone module purposefully designed to personalise student learning, demonstrating the skills acquired through a tangible portfolio of work.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Through the modules and the embedded skills development, the course provides students with a direct line of sight to graduate roles, with options that allow students to specialise or retain a broad knowledge base.</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color w:val="000000" w:themeColor="text1"/>
          <w:sz w:val="24"/>
          <w:szCs w:val="24"/>
          <w:u w:val="single"/>
          <w:shd w:val="clear" w:color="auto" w:fill="FFFFFF"/>
        </w:rPr>
        <w:t>Aims of the Course</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programme aims to:</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Provide students with in-depth knowledge and understanding of the key theories and practices employed in modern marketing communications and advertising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Enable students to develop the intellectual capacity and practical experience needed to appraise and offer solutions to complex marketing communications and advertising problems.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To prepare responsible marketing graduates with the relevant skills and attributes for graduate-level employment, further study and lifelong learning opportunities.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Enable students to acquire technical qualifications and connections to industry.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Evaluate critically the internal and external environmental environment in the context of marketing and advertising.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data to identify and solve complex marketing and advertising problems and make evidence-based decisions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Implement current and emerging digital and technological solutions to create and communicate value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and communicate a critical understanding of the key areas of marketing and advertising and their relationship with other business functions to influence organisational performance.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an enterprising mindset to create value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marketing communications data and analytics to identify business problems and offer evidence-based marketing and advertising decisions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practical understanding of appropriate approaches and strategies used in the contemporary marketing and advertising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Interpret, analyse, evaluate and draw inferences from marketing communications information and other relevant information sources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Draw upon appropriate marketing and advertising theories and frameworks to recommend a range of creative marketing and advertising solutions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 critical awareness and understanding of current issues of global concern such as sustainability, ethics and social responsibility and how these relate to contemporary business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relevant critical, creative or entrepreneurial skills to deal with marketing and advertising problems and opportunities to produce recommendations for decision and subsequent action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Work effectively in diverse environments, and with others and get things done.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Note: As per </w:t>
      </w:r>
      <w:hyperlink r:id="rId11" w:anchor="blockid21000" w:history="1">
        <w:r w:rsidRPr="2030048C">
          <w:rPr>
            <w:rFonts w:ascii="Arial" w:eastAsia="Arial" w:hAnsi="Arial" w:cs="Arial"/>
            <w:color w:val="000000" w:themeColor="text1" w:themeShade="FF" w:themeTint="FF"/>
            <w:sz w:val="24"/>
            <w:szCs w:val="24"/>
          </w:rPr>
          <w:t>GR5</w:t>
        </w:r>
      </w:hyperlink>
      <w:r w:rsidRPr="2030048C">
        <w:rPr>
          <w:rFonts w:ascii="Arial" w:eastAsia="Arial" w:hAnsi="Arial" w:cs="Arial"/>
          <w:color w:val="000000" w:themeColor="text1" w:themeShade="FF" w:themeTint="FF"/>
          <w:sz w:val="24"/>
          <w:szCs w:val="24"/>
        </w:rPr>
        <w:t xml:space="preserve"> within the general regulations, the University aims to ensure that all option modules listed below are delivered. However, for various reasons, such as demand, the availability of option modules may vary from year to year or between teaching blocks. Students will be informed of the availability of option modules through the Online Module Selection process.</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For information for the</w:t>
      </w:r>
      <w:r w:rsidRPr="2030048C">
        <w:rPr>
          <w:rFonts w:ascii="Arial" w:eastAsia="Arial" w:hAnsi="Arial" w:cs="Arial"/>
          <w:color w:val="000000" w:themeColor="text1" w:themeShade="FF" w:themeTint="FF"/>
          <w:sz w:val="24"/>
          <w:szCs w:val="24"/>
        </w:rPr>
        <w:t> Foundation Year in Business</w:t>
      </w:r>
      <w:r w:rsidRPr="2030048C">
        <w:rPr>
          <w:rFonts w:ascii="Arial" w:eastAsia="Arial" w:hAnsi="Arial" w:cs="Arial"/>
          <w:color w:val="000000" w:themeColor="text1" w:themeShade="FF" w:themeTint="FF"/>
          <w:sz w:val="22"/>
          <w:szCs w:val="22"/>
        </w:rPr>
        <w:t>, please see Programme Specification on CMS.</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This programme specification is for level 4 students in 24/25 progressing to level 5 in Sept 25</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Marketing and Advertising</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Marketing and Advertising</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The Business of Marketing</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BM4002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The Marketing Mindset</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BM4001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The Outputs of Marketing</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BM4004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The Principles of Marketing</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BM4003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sz w:val="24"/>
          <w:szCs w:val="24"/>
        </w:rPr>
        <w:t>Students progressing to level 5 in September 2025 will complete the diet below:</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Marketing and Advertising</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Advertising Tools, Techniques and Technologies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BM5001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Analytics and AI for Marketing</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BM5002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Market Research and Behavioural Insights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BM5012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Marketing Across Cultures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BM5008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ED519C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1FC664C" w14:textId="03C15C9E">
            <w:pPr>
              <w:rPr>
                <w:rFonts w:ascii="Arial" w:eastAsia="Arial" w:hAnsi="Arial" w:cs="Arial"/>
                <w:sz w:val="24"/>
                <w:szCs w:val="24"/>
              </w:rPr>
            </w:pPr>
            <w:r w:rsidRPr="7AD52F4D" w:rsidR="06A3B627">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A2434B1" w14:textId="0EA4E7AA">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6C534" w14:textId="783B089B">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D46A005" w14:textId="49262EB7">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DB59B4E" w14:textId="44FA361C">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7BECB" w14:textId="151C3355">
            <w:pPr>
              <w:jc w:val="center"/>
              <w:rPr>
                <w:rFonts w:ascii="Arial" w:eastAsia="Arial" w:hAnsi="Arial" w:cs="Arial"/>
                <w:sz w:val="24"/>
                <w:szCs w:val="24"/>
              </w:rPr>
            </w:pP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44984E" w14:textId="7C66223A">
            <w:pPr>
              <w:jc w:val="center"/>
              <w:rPr>
                <w:rFonts w:ascii="Arial" w:eastAsia="Arial" w:hAnsi="Arial" w:cs="Arial"/>
                <w:sz w:val="24"/>
                <w:szCs w:val="24"/>
              </w:rPr>
            </w:pP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5847AB7" w14:textId="72CBD8C5">
            <w:pPr>
              <w:jc w:val="center"/>
              <w:rPr>
                <w:rFonts w:ascii="Arial" w:eastAsia="Arial" w:hAnsi="Arial" w:cs="Arial"/>
                <w:sz w:val="24"/>
                <w:szCs w:val="24"/>
              </w:rPr>
            </w:pPr>
          </w:p>
        </w:tc>
      </w:tr>
      <w:tr w14:paraId="5D7D13A1"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B1728E1" w14:textId="0EF531FA">
            <w:pPr>
              <w:rPr>
                <w:rFonts w:ascii="Arial" w:eastAsia="Arial" w:hAnsi="Arial" w:cs="Arial"/>
                <w:sz w:val="24"/>
                <w:szCs w:val="24"/>
                <w:lang w:val="en-GB"/>
              </w:rPr>
            </w:pPr>
            <w:r w:rsidRPr="2030048C" w:rsidR="073AEBF5">
              <w:rPr>
                <w:rFonts w:ascii="Arial" w:eastAsia="Arial" w:hAnsi="Arial" w:cs="Arial"/>
                <w:sz w:val="24"/>
                <w:szCs w:val="24"/>
                <w:lang w:val="en-GB"/>
              </w:rPr>
              <w:t>Sales and Negotiation</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CF6C762"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BM5213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CFEC962"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B2F918E"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8E3ACBA"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AD489F6"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BBE4BE"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7BB90B" w14:textId="31F07BCA">
            <w:pPr>
              <w:jc w:val="center"/>
              <w:rPr>
                <w:rFonts w:ascii="Arial" w:eastAsia="Arial" w:hAnsi="Arial" w:cs="Arial"/>
                <w:sz w:val="24"/>
                <w:szCs w:val="24"/>
              </w:rPr>
            </w:pPr>
            <w:r w:rsidRPr="574CD144" w:rsidR="073AEBF5">
              <w:rPr>
                <w:rFonts w:ascii="Arial" w:eastAsia="Arial" w:hAnsi="Arial" w:cs="Arial"/>
                <w:sz w:val="24"/>
                <w:szCs w:val="24"/>
              </w:rPr>
              <w:t>3</w:t>
            </w:r>
          </w:p>
        </w:tc>
      </w:tr>
      <w:tr w14:paraId="5D7D13A2"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Technology in Focus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BB5114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r w:rsidRPr="574CD144" w:rsidR="073AEBF5">
              <w:rPr>
                <w:rFonts w:ascii="Arial" w:eastAsia="Arial" w:hAnsi="Arial" w:cs="Arial"/>
                <w:sz w:val="24"/>
                <w:szCs w:val="24"/>
              </w:rPr>
              <w:t>2</w:t>
            </w: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sz w:val="24"/>
          <w:szCs w:val="24"/>
        </w:rPr>
        <w:t>Students at level 4 in 24/25 progressing to level 6 in September 2026 will complete the diet below in academic year 26/27</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Marketing and Advertising</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Brands, Buyers and Behaviours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BM6001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Integrated Marketing Communications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BM6713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My Marketing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BM6002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3736142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CC13E4" w14:textId="65830FDC">
            <w:pPr>
              <w:rPr>
                <w:rFonts w:ascii="Arial" w:eastAsia="Arial" w:hAnsi="Arial" w:cs="Arial"/>
                <w:sz w:val="24"/>
                <w:szCs w:val="24"/>
              </w:rPr>
            </w:pPr>
            <w:r w:rsidRPr="7AD52F4D" w:rsidR="27BD9679">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1B06CDD" w14:textId="5C2DB6F3">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698EAC" w14:textId="08ED9FFD">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7C4D117" w14:textId="533501F2">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893D0C5" w14:textId="32FD975D">
            <w:pPr>
              <w:jc w:val="center"/>
              <w:rPr>
                <w:rFonts w:ascii="Arial" w:eastAsia="Arial" w:hAnsi="Arial" w:cs="Arial"/>
                <w:sz w:val="24"/>
                <w:szCs w:val="24"/>
              </w:rPr>
            </w:pP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8ECE466" w14:textId="0E0680C0">
            <w:pPr>
              <w:jc w:val="center"/>
              <w:rPr>
                <w:rFonts w:ascii="Arial" w:eastAsia="Arial" w:hAnsi="Arial" w:cs="Arial"/>
                <w:sz w:val="24"/>
                <w:szCs w:val="24"/>
              </w:rPr>
            </w:pP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68E0DD" w14:textId="1BB1B27E">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0B40476" w14:textId="1C37987F">
            <w:pPr>
              <w:jc w:val="center"/>
              <w:rPr>
                <w:rFonts w:ascii="Arial" w:eastAsia="Arial" w:hAnsi="Arial" w:cs="Arial"/>
                <w:sz w:val="24"/>
                <w:szCs w:val="24"/>
              </w:rPr>
            </w:pPr>
          </w:p>
        </w:tc>
      </w:tr>
      <w:tr w14:paraId="4893114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A0BF11B" w14:textId="7E05B115">
            <w:pPr>
              <w:rPr>
                <w:rFonts w:ascii="Arial" w:eastAsia="Arial" w:hAnsi="Arial" w:cs="Arial"/>
                <w:sz w:val="24"/>
                <w:szCs w:val="24"/>
                <w:lang w:val="en-GB"/>
              </w:rPr>
            </w:pPr>
            <w:r w:rsidRPr="2030048C" w:rsidR="073AEBF5">
              <w:rPr>
                <w:rFonts w:ascii="Arial" w:eastAsia="Arial" w:hAnsi="Arial" w:cs="Arial"/>
                <w:sz w:val="24"/>
                <w:szCs w:val="24"/>
                <w:lang w:val="en-GB"/>
              </w:rPr>
              <w:t>Data and Digital Driven Design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10CE861"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BB6115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9BE22D9"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102E73B"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9F14E4F"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4CC5E4"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E3D87D"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26FCFD" w14:textId="24C12581">
            <w:pPr>
              <w:jc w:val="center"/>
              <w:rPr>
                <w:rFonts w:ascii="Arial" w:eastAsia="Arial" w:hAnsi="Arial" w:cs="Arial"/>
                <w:sz w:val="24"/>
                <w:szCs w:val="24"/>
              </w:rPr>
            </w:pPr>
            <w:r w:rsidRPr="574CD144" w:rsidR="073AEBF5">
              <w:rPr>
                <w:rFonts w:ascii="Arial" w:eastAsia="Arial" w:hAnsi="Arial" w:cs="Arial"/>
                <w:sz w:val="24"/>
                <w:szCs w:val="24"/>
              </w:rPr>
              <w:t>3</w:t>
            </w:r>
          </w:p>
        </w:tc>
      </w:tr>
      <w:tr w14:paraId="4893114A"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Digital Creativity in Marketing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BM6213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3</w:t>
            </w:r>
          </w:p>
        </w:tc>
      </w:tr>
      <w:tr w14:paraId="4893114B"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The Learning Organisation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BH6014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3</w:t>
            </w: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sz w:val="24"/>
          <w:szCs w:val="24"/>
        </w:rPr>
        <w:t>Students who achieve 300 credits at level 4 or above, of which at least 180 credits are at level 5 or above and of which at least 60 credits are at level 6 or above, may be awarded a Ordinary (Non-Honours) degree.</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Marketing and Advertising with Placement year</w:t>
      </w:r>
    </w:p>
    <w:p w:rsidR="008B5CAF" w:rsidRPr="008B5CAF" w:rsidP="008B5CAF" w14:textId="77777777">
      <w:pPr>
        <w:rPr>
          <w:rFonts w:eastAsia="Arial"/>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Marketing and Advertising with Foundation year</w:t>
      </w:r>
    </w:p>
    <w:p w:rsidR="008B5CAF" w:rsidRPr="008B5CAF" w:rsidP="008B5CAF" w14:textId="77777777">
      <w:pPr>
        <w:rPr>
          <w:rFonts w:eastAsia="Arial"/>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Pr="2030048C" w:rsidP="2030048C">
      <w:pPr>
        <w:rPr>
          <w:rFonts w:ascii="Arial" w:eastAsia="Arial" w:hAnsi="Arial" w:cs="Arial"/>
          <w:sz w:val="24"/>
          <w:szCs w:val="24"/>
        </w:rPr>
      </w:pPr>
      <w:r w:rsidRPr="2030048C">
        <w:rPr>
          <w:rFonts w:ascii="Arial" w:eastAsia="Arial" w:hAnsi="Arial" w:cs="Arial"/>
          <w:sz w:val="24"/>
          <w:szCs w:val="24"/>
        </w:rPr>
        <w:t>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154"/>
        <w:gridCol w:w="242"/>
        <w:gridCol w:w="637"/>
        <w:gridCol w:w="637"/>
        <w:gridCol w:w="637"/>
        <w:gridCol w:w="636"/>
        <w:gridCol w:w="1"/>
        <w:gridCol w:w="637"/>
        <w:gridCol w:w="637"/>
        <w:gridCol w:w="637"/>
        <w:gridCol w:w="635"/>
        <w:gridCol w:w="2"/>
        <w:gridCol w:w="610"/>
        <w:gridCol w:w="637"/>
        <w:gridCol w:w="637"/>
        <w:gridCol w:w="634"/>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BM4002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BM4004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BM4001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BM4003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BM5001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BM5008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BM5012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BM5002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BM6002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BM6001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BM6713</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kingston.ac.uk/aboutkingstonuniversity/howtheuniversityworks/policiesandregulations/" TargetMode="External"/><Relationship Id="rId6" Type="http://schemas.openxmlformats.org/officeDocument/2006/relationships/customXml" Target="../customXml/item3.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F2081613-08FC-484B-9A84-CA8F3DC41E29}"/>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y fmtid="{D5CDD505-2E9C-101B-9397-08002B2CF9AE}" pid="16" name="xd_Signature">
    <vt:bool>false</vt:bool>
  </property>
  <property fmtid="{D5CDD505-2E9C-101B-9397-08002B2CF9AE}" pid="17" name="xd_ProgID">
    <vt:lpwstr/>
  </property>
  <property fmtid="{D5CDD505-2E9C-101B-9397-08002B2CF9AE}" pid="18" name="_SourceUrl">
    <vt:lpwstr/>
  </property>
  <property fmtid="{D5CDD505-2E9C-101B-9397-08002B2CF9AE}" pid="19" name="_SharedFileIndex">
    <vt:lpwstr/>
  </property>
  <property fmtid="{D5CDD505-2E9C-101B-9397-08002B2CF9AE}" pid="20" name="TemplateUrl">
    <vt:lpwstr/>
  </property>
  <property fmtid="{D5CDD505-2E9C-101B-9397-08002B2CF9AE}" pid="21" name="ComplianceAssetId">
    <vt:lpwstr/>
  </property>
  <property fmtid="{D5CDD505-2E9C-101B-9397-08002B2CF9AE}" pid="22" name="_ExtendedDescription">
    <vt:lpwstr/>
  </property>
  <property fmtid="{D5CDD505-2E9C-101B-9397-08002B2CF9AE}" pid="23" name="TriggerFlowInfo">
    <vt:lpwstr/>
  </property>
</Properties>
</file>