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Marketing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16/08/2024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British Academy of Jewellery,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Marketing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Marketing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UFBMM1AJS10 / UFBMM1BMM10 / UFBMM1AJB10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British Academy of Jewellery,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The minimum entry qualifications for the programme are: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240 credits from a relevant Higher National Diploma (HND), or foundation degree (FdA/ FdSc)</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120 credits from Level 4 and 120 credits Level 5 of an undergraduate degree (BA/BSc) in a relevant subject at a different institution.</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212121"/>
                <w:sz w:val="22"/>
                <w:szCs w:val="22"/>
                <w:shd w:val="clear" w:color="auto" w:fill="FFFFFF"/>
              </w:rPr>
              <w:t>British Academy of Jewellery typically uses a range of entry requirements to assess an applicants suitability for our courses.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2"/>
                <w:szCs w:val="22"/>
                <w:shd w:val="clear" w:color="auto" w:fill="FFFFFF"/>
              </w:rPr>
              <w:t>A minimum IELTS score of 6.0 (with no element below 5.5) is required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Association for the Advancement of Collegiate Schools of Business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programme aims to:</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in students the skills required to secure and thrive in graduate-level employment, research, further study and lifelong learning.</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Prepare graduates for business, management and marketing roles in all types of organisations and sectors</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Equip students with the in-depth knowledge and understanding of the core elements of business, management and marketing</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marketing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and marketing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and marketing related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Note: As per </w:t>
      </w:r>
      <w:hyperlink r:id="rId11" w:anchor="blockid21000" w:tgtFrame="_blank" w:history="1">
        <w:r w:rsidRPr="2030048C">
          <w:rPr>
            <w:rFonts w:ascii="Arial" w:eastAsia="Arial" w:hAnsi="Arial" w:cs="Arial"/>
            <w:color w:val="000000"/>
            <w:sz w:val="22"/>
            <w:szCs w:val="22"/>
          </w:rPr>
          <w:t>GR5</w:t>
        </w:r>
      </w:hyperlink>
      <w:r w:rsidRPr="2030048C">
        <w:rPr>
          <w:rFonts w:ascii="Arial" w:eastAsia="Arial" w:hAnsi="Arial" w:cs="Arial"/>
          <w:color w:val="000000"/>
          <w:sz w:val="24"/>
          <w:szCs w:val="24"/>
        </w:rPr>
        <w:t> </w:t>
      </w:r>
      <w:r w:rsidRPr="2030048C">
        <w:rPr>
          <w:rFonts w:ascii="Arial" w:eastAsia="Arial" w:hAnsi="Arial" w:cs="Arial"/>
          <w:color w:val="000000"/>
          <w:sz w:val="22"/>
          <w:szCs w:val="22"/>
        </w:rPr>
        <w:t xml:space="preserve">within the general regulations, the Academy aims to ensure that </w:t>
      </w:r>
      <w:r w:rsidRPr="2030048C">
        <w:rPr>
          <w:rFonts w:ascii="Arial" w:eastAsia="Arial" w:hAnsi="Arial" w:cs="Arial"/>
          <w:color w:val="000000"/>
          <w:sz w:val="22"/>
          <w:szCs w:val="22"/>
        </w:rPr>
        <w:t>all programme learning outcomes and key skills are developed through the core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Marketing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Media Strategy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2"/>
          <w:szCs w:val="22"/>
        </w:rPr>
        <w:t>The approach to teaching, learning and assessment supports the programme aims to ensure that graduates have the skills and knowledge to secure and thrive in graduate level employment, research, further study, and lifelong learning.   </w:t>
      </w:r>
    </w:p>
    <w:p w:rsidRPr="2030048C" w:rsidP="2030048C">
      <w:pPr>
        <w:rPr>
          <w:rFonts w:ascii="Arial" w:eastAsia="Arial" w:hAnsi="Arial" w:cs="Arial"/>
          <w:sz w:val="24"/>
          <w:szCs w:val="24"/>
        </w:rPr>
      </w:pPr>
      <w:r w:rsidRPr="2030048C">
        <w:rPr>
          <w:rFonts w:ascii="Arial" w:eastAsia="Arial" w:hAnsi="Arial" w:cs="Arial"/>
          <w:color w:val="000000"/>
          <w:sz w:val="22"/>
          <w:szCs w:val="22"/>
        </w:rPr>
        <w:t>Much of the learning and teaching is through project and problem-based activities, wherever possible informed and or delivered by current practitioners as well as academics.  This approach also allows co-construction with students by encouraging and supporting them to grow from being “fed facts” to developing knowledge, understanding and critical skills through exploration of subjects that interest them.  </w:t>
      </w:r>
    </w:p>
    <w:p w:rsidRPr="2030048C" w:rsidP="2030048C">
      <w:pPr>
        <w:rPr>
          <w:rFonts w:ascii="Arial" w:eastAsia="Arial" w:hAnsi="Arial" w:cs="Arial"/>
          <w:sz w:val="24"/>
          <w:szCs w:val="24"/>
        </w:rPr>
      </w:pPr>
      <w:r w:rsidRPr="2030048C">
        <w:rPr>
          <w:rFonts w:ascii="Arial" w:eastAsia="Arial" w:hAnsi="Arial" w:cs="Arial"/>
          <w:color w:val="000000"/>
          <w:sz w:val="22"/>
          <w:szCs w:val="22"/>
        </w:rPr>
        <w:t>The industry-informed approach to teaching is further underpinned by the approach to assessment, which is, wherever possible, industry relevant and authentic further preparing our graduates for the tasks and challenges they will face in graduate roles. In addition to those currently in practice, and practice-based staff providing students with connections to industry and the “real world”, research-active staff expose students to the latest research developments.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Assessments typically require primary and secondary research to be undertaken, ensuring students progressively develop critical thinking and information literacy skills, but require presentation in a format that is industry appropriate. Assessment methods include reports, portfolios (group and individual), group design projects, presentations (group and individual), skills portfolios, sales pitches, project plans, briefs, networking reports and prototype specifications and development. The latest technology is used to enhance learning and collaborative working. The assessment strategy ensures that students have explicit formative opportunities for practice and feedforward designed to help them achieve their full potential in final (summative) 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loads are standardised and wherever possible students will be given a choice in how they present their assessment to meet the learning outcomes. </w:t>
      </w:r>
    </w:p>
    <w:p w:rsidRPr="2030048C" w:rsidP="2030048C">
      <w:pPr>
        <w:rPr>
          <w:rFonts w:ascii="Arial" w:eastAsia="Arial" w:hAnsi="Arial" w:cs="Arial"/>
          <w:sz w:val="24"/>
          <w:szCs w:val="24"/>
        </w:rPr>
      </w:pPr>
      <w:r w:rsidRPr="2030048C">
        <w:rPr>
          <w:rFonts w:ascii="Arial" w:eastAsia="Arial" w:hAnsi="Arial" w:cs="Arial"/>
          <w:color w:val="000000"/>
          <w:sz w:val="22"/>
          <w:szCs w:val="22"/>
        </w:rPr>
        <w:t>Our rich and inclusive curriculum is continually reviewed in consultation with our students, employers, and industry to take account of new developments, seeking to keep the programme exciting and lively. A range of methods is used to actively engage students, including problem solving and enquiry-based learning, industry research and peer-assisted learning. Formative assessment develops key aims during the progress of a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Presentation skills and group learning are developed throughout the programme to emulate the real-world situations in which our students may find themselves.  </w:t>
      </w:r>
    </w:p>
    <w:p w:rsidRPr="2030048C" w:rsidP="2030048C">
      <w:pPr>
        <w:rPr>
          <w:rFonts w:ascii="Arial" w:eastAsia="Arial" w:hAnsi="Arial" w:cs="Arial"/>
          <w:sz w:val="24"/>
          <w:szCs w:val="24"/>
        </w:rPr>
      </w:pPr>
      <w:r w:rsidRPr="2030048C">
        <w:rPr>
          <w:rFonts w:ascii="Arial" w:eastAsia="Arial" w:hAnsi="Arial" w:cs="Arial"/>
          <w:color w:val="000000"/>
          <w:sz w:val="22"/>
          <w:szCs w:val="22"/>
        </w:rPr>
        <w:t>The use of group work develops the essential skills of working with others and thus replicates business practice of collaborative teamwork; group work is supported through class activities in each module where it occurs. Students will also benefit substantially from the business simulations that are embedded in the programme and some of the modules. These simulations enable students to gain an understanding of key decision-making processes and the links between subject areas from a very early stage. </w:t>
      </w:r>
    </w:p>
    <w:p w:rsidRPr="2030048C" w:rsidP="2030048C">
      <w:pPr>
        <w:rPr>
          <w:rFonts w:ascii="Arial" w:eastAsia="Arial" w:hAnsi="Arial" w:cs="Arial"/>
          <w:sz w:val="24"/>
          <w:szCs w:val="24"/>
        </w:rPr>
      </w:pPr>
      <w:r w:rsidRPr="2030048C">
        <w:rPr>
          <w:rFonts w:ascii="Arial" w:eastAsia="Arial" w:hAnsi="Arial" w:cs="Arial"/>
          <w:color w:val="000000"/>
          <w:sz w:val="22"/>
          <w:szCs w:val="22"/>
        </w:rPr>
        <w:t>To further support students, sessions led by personal tutors are integrated into modules. These sessions will focus on supporting the students in transitioning to, and from, Higher Education and develop skills for success. Students who are considered at risk due to low engagement can be identified and advised by the personal tutor with the support of the student liaison team as appropriate. Personal tutors will also be able to support students in discussions around their potential career path supported by their ePortfolio. </w:t>
      </w:r>
    </w:p>
    <w:p w:rsidRPr="2030048C" w:rsidP="2030048C">
      <w:pPr>
        <w:rPr>
          <w:rFonts w:ascii="Arial" w:eastAsia="Arial" w:hAnsi="Arial" w:cs="Arial"/>
          <w:sz w:val="24"/>
          <w:szCs w:val="24"/>
        </w:rPr>
      </w:pPr>
      <w:r w:rsidRPr="2030048C">
        <w:rPr>
          <w:rFonts w:ascii="Arial" w:eastAsia="Arial" w:hAnsi="Arial" w:cs="Arial"/>
          <w:color w:val="000000"/>
          <w:sz w:val="22"/>
          <w:szCs w:val="22"/>
        </w:rPr>
        <w:t>The Business Management and Marketing programme has integrated the principles of the University’s Inclusive Curriculum Framework, to ensure inclusivity has been embedded throughout the academic cycle. Examples of these approaches include: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Assessments and delivery patterns that support students who commute.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Students are co-creators of the assessment data – for example creating and answering surveys that are used within analytics assessments and choosing to illustrate marketing concepts and lead discussion in the classroom.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Case studies and role models used in assessments reflect the diverse student body.</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Teaching spaces, when appropriate, are set up in a carousel arrangement, so students are naturally positioned to discuss concepts in an inclusive manner.</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sz w:val="22"/>
          <w:szCs w:val="22"/>
        </w:rPr>
        <w:t>Students are provided with the dates of all assessments at the start of each level of their studies so that they can manage their time. They are encouraged to discuss any concerns with their module leader and personal tutor, who will support them in reflecting on their feedback to improve on further assessments.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jc w:val="both"/>
        <w:rPr>
          <w:rFonts w:ascii="Arial" w:eastAsia="Arial" w:hAnsi="Arial" w:cs="Arial"/>
          <w:sz w:val="24"/>
          <w:szCs w:val="24"/>
        </w:rPr>
      </w:pPr>
      <w:r w:rsidRPr="2030048C">
        <w:rPr>
          <w:rFonts w:ascii="Arial" w:eastAsia="Arial" w:hAnsi="Arial" w:cs="Arial"/>
          <w:b/>
          <w:bCs/>
          <w:color w:val="000000"/>
          <w:sz w:val="22"/>
          <w:szCs w:val="22"/>
        </w:rPr>
        <w:t>Students are supported by: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At the start of your course you will be allocated a </w:t>
      </w:r>
      <w:r w:rsidRPr="2030048C">
        <w:rPr>
          <w:rFonts w:ascii="Arial" w:eastAsia="Arial" w:hAnsi="Arial" w:cs="Arial"/>
          <w:b/>
          <w:bCs/>
          <w:sz w:val="22"/>
          <w:szCs w:val="22"/>
        </w:rPr>
        <w:t>Personal Tutor</w:t>
      </w:r>
      <w:r w:rsidRPr="2030048C">
        <w:rPr>
          <w:rFonts w:ascii="Arial" w:eastAsia="Arial" w:hAnsi="Arial" w:cs="Arial"/>
          <w:sz w:val="22"/>
          <w:szCs w:val="22"/>
        </w:rPr>
        <w:t>. Your tutor will instigate regular meetings throughout your time at the Academy, providing you with support, guidance, and encouragement. You will receive support topics such as academic performance, future skills development and your personal learning journey will be discussed.  Tutors not only support academic performance but also are there to listen to non-academic concerns such as adapting to a new environment/country, family concerns, illness, or homesickness. They are also there to help celebrate success.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Your </w:t>
      </w:r>
      <w:r w:rsidRPr="2030048C">
        <w:rPr>
          <w:rFonts w:ascii="Arial" w:eastAsia="Arial" w:hAnsi="Arial" w:cs="Arial"/>
          <w:b/>
          <w:bCs/>
          <w:sz w:val="22"/>
          <w:szCs w:val="22"/>
        </w:rPr>
        <w:t>Course Manager</w:t>
      </w:r>
      <w:r w:rsidRPr="2030048C">
        <w:rPr>
          <w:rFonts w:ascii="Arial" w:eastAsia="Arial" w:hAnsi="Arial" w:cs="Arial"/>
          <w:sz w:val="22"/>
          <w:szCs w:val="22"/>
        </w:rPr>
        <w:t xml:space="preserve"> helps you to understand the programme structure, the academic regulations and what is required at the various levels of study.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Student Services and Administrative</w:t>
      </w:r>
      <w:r w:rsidRPr="2030048C">
        <w:rPr>
          <w:rFonts w:ascii="Arial" w:eastAsia="Arial" w:hAnsi="Arial" w:cs="Arial"/>
          <w:sz w:val="22"/>
          <w:szCs w:val="22"/>
        </w:rPr>
        <w:t xml:space="preserve"> team are there to help you with general administrative aspects such as timetables issues and providing letters.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Academic Support</w:t>
      </w:r>
      <w:r w:rsidRPr="2030048C">
        <w:rPr>
          <w:rFonts w:ascii="Arial" w:eastAsia="Arial" w:hAnsi="Arial" w:cs="Arial"/>
          <w:sz w:val="22"/>
          <w:szCs w:val="22"/>
        </w:rPr>
        <w:t xml:space="preserve"> team can provide guidance on study plans or help arrange services such as Wellness or Disability.</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Quality</w:t>
      </w:r>
      <w:r w:rsidRPr="2030048C">
        <w:rPr>
          <w:rFonts w:ascii="Arial" w:eastAsia="Arial" w:hAnsi="Arial" w:cs="Arial"/>
          <w:sz w:val="22"/>
          <w:szCs w:val="22"/>
        </w:rPr>
        <w:t xml:space="preserve"> </w:t>
      </w:r>
      <w:r w:rsidRPr="2030048C">
        <w:rPr>
          <w:rFonts w:ascii="Arial" w:eastAsia="Arial" w:hAnsi="Arial" w:cs="Arial"/>
          <w:b/>
          <w:bCs/>
          <w:sz w:val="22"/>
          <w:szCs w:val="22"/>
        </w:rPr>
        <w:t>and Student Engagement</w:t>
      </w:r>
      <w:r w:rsidRPr="2030048C">
        <w:rPr>
          <w:rFonts w:ascii="Arial" w:eastAsia="Arial" w:hAnsi="Arial" w:cs="Arial"/>
          <w:sz w:val="22"/>
          <w:szCs w:val="22"/>
        </w:rPr>
        <w:t xml:space="preserve"> team can provide advice and guidance on academic matters such as mitigating circumstances and coursework extensions.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color w:val="000000"/>
          <w:sz w:val="22"/>
          <w:szCs w:val="22"/>
          <w:shd w:val="clear" w:color="auto" w:fill="FFFFFF"/>
        </w:rPr>
        <w:t xml:space="preserve">The </w:t>
      </w:r>
      <w:r w:rsidRPr="2030048C">
        <w:rPr>
          <w:rFonts w:ascii="Arial" w:eastAsia="Arial" w:hAnsi="Arial" w:cs="Arial"/>
          <w:b/>
          <w:bCs/>
          <w:sz w:val="22"/>
          <w:szCs w:val="22"/>
        </w:rPr>
        <w:t>Careers &amp; Industry Engagement</w:t>
      </w:r>
      <w:r w:rsidRPr="2030048C">
        <w:rPr>
          <w:rFonts w:ascii="Arial" w:eastAsia="Arial" w:hAnsi="Arial" w:cs="Arial"/>
          <w:color w:val="000000"/>
          <w:sz w:val="22"/>
          <w:szCs w:val="22"/>
          <w:shd w:val="clear" w:color="auto" w:fill="FFFFFF"/>
        </w:rPr>
        <w:t xml:space="preserve"> </w:t>
      </w:r>
      <w:r w:rsidRPr="2030048C">
        <w:rPr>
          <w:rFonts w:ascii="Arial" w:eastAsia="Arial" w:hAnsi="Arial" w:cs="Arial"/>
          <w:b/>
          <w:bCs/>
          <w:color w:val="000000"/>
          <w:sz w:val="22"/>
          <w:szCs w:val="22"/>
          <w:shd w:val="clear" w:color="auto" w:fill="FFFFFF"/>
        </w:rPr>
        <w:t>Manager</w:t>
      </w:r>
      <w:r w:rsidRPr="2030048C">
        <w:rPr>
          <w:rFonts w:ascii="Arial" w:eastAsia="Arial" w:hAnsi="Arial" w:cs="Arial"/>
          <w:color w:val="000000"/>
          <w:sz w:val="22"/>
          <w:szCs w:val="22"/>
          <w:shd w:val="clear" w:color="auto" w:fill="FFFFFF"/>
        </w:rPr>
        <w:t xml:space="preserve"> (Sky Mentor),</w:t>
      </w:r>
      <w:r w:rsidRPr="2030048C">
        <w:rPr>
          <w:rFonts w:ascii="Arial" w:eastAsia="Arial" w:hAnsi="Arial" w:cs="Arial"/>
          <w:sz w:val="22"/>
          <w:szCs w:val="22"/>
        </w:rPr>
        <w:t xml:space="preserve"> provides valuable guidance on developing professional skills, supporting you with any internships and/or placements and organises careers events.</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 xml:space="preserve">IT Support </w:t>
      </w:r>
      <w:r w:rsidRPr="2030048C">
        <w:rPr>
          <w:rFonts w:ascii="Arial" w:eastAsia="Arial" w:hAnsi="Arial" w:cs="Arial"/>
          <w:sz w:val="22"/>
          <w:szCs w:val="22"/>
        </w:rPr>
        <w:t>can be accessed through the Student Services team.</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Student Council</w:t>
      </w:r>
      <w:r w:rsidRPr="2030048C">
        <w:rPr>
          <w:rFonts w:ascii="Arial" w:eastAsia="Arial" w:hAnsi="Arial" w:cs="Arial"/>
          <w:sz w:val="22"/>
          <w:szCs w:val="22"/>
        </w:rPr>
        <w:t xml:space="preserve"> and </w:t>
      </w:r>
      <w:r w:rsidRPr="2030048C">
        <w:rPr>
          <w:rFonts w:ascii="Arial" w:eastAsia="Arial" w:hAnsi="Arial" w:cs="Arial"/>
          <w:b/>
          <w:bCs/>
          <w:sz w:val="22"/>
          <w:szCs w:val="22"/>
        </w:rPr>
        <w:t>Course Representatives</w:t>
      </w:r>
      <w:r w:rsidRPr="2030048C">
        <w:rPr>
          <w:rFonts w:ascii="Arial" w:eastAsia="Arial" w:hAnsi="Arial" w:cs="Arial"/>
          <w:sz w:val="22"/>
          <w:szCs w:val="22"/>
        </w:rPr>
        <w:t xml:space="preserve"> help enable students to feed back to staff about their programme.</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b/>
          <w:bCs/>
          <w:sz w:val="22"/>
          <w:szCs w:val="22"/>
        </w:rPr>
        <w:t>CANVAS (VLE)</w:t>
      </w:r>
      <w:r w:rsidRPr="2030048C">
        <w:rPr>
          <w:rFonts w:ascii="Arial" w:eastAsia="Arial" w:hAnsi="Arial" w:cs="Arial"/>
          <w:sz w:val="22"/>
          <w:szCs w:val="22"/>
        </w:rPr>
        <w:t xml:space="preserve"> is a versatile on-line interactive intranet and learning environment.</w:t>
      </w:r>
    </w:p>
    <w:p w:rsidRPr="2030048C" w:rsidP="2030048C">
      <w:pPr>
        <w:numPr>
          <w:ilvl w:val="0"/>
          <w:numId w:val="16"/>
        </w:numPr>
        <w:ind w:left="720" w:hanging="360"/>
        <w:jc w:val="both"/>
        <w:rPr>
          <w:rFonts w:ascii="Arial" w:eastAsia="Arial" w:hAnsi="Arial" w:cs="Arial"/>
          <w:sz w:val="24"/>
          <w:szCs w:val="24"/>
        </w:rPr>
      </w:pPr>
      <w:r w:rsidRPr="2030048C">
        <w:rPr>
          <w:rFonts w:ascii="Arial" w:eastAsia="Arial" w:hAnsi="Arial" w:cs="Arial"/>
          <w:sz w:val="22"/>
          <w:szCs w:val="22"/>
        </w:rPr>
        <w:t xml:space="preserve">The </w:t>
      </w:r>
      <w:r w:rsidRPr="2030048C">
        <w:rPr>
          <w:rFonts w:ascii="Arial" w:eastAsia="Arial" w:hAnsi="Arial" w:cs="Arial"/>
          <w:b/>
          <w:bCs/>
          <w:sz w:val="22"/>
          <w:szCs w:val="22"/>
        </w:rPr>
        <w:t>Union of Kingston Students</w:t>
      </w:r>
      <w:r w:rsidRPr="2030048C">
        <w:rPr>
          <w:rFonts w:ascii="Arial" w:eastAsia="Arial" w:hAnsi="Arial" w:cs="Arial"/>
          <w:sz w:val="22"/>
          <w:szCs w:val="22"/>
        </w:rPr>
        <w:t xml:space="preserve"> which provides a wide variety of clubs and societies and social events, as well as supporting and providing guidance on a variety of academic issues.</w:t>
      </w:r>
    </w:p>
    <w:p w:rsidRPr="2030048C" w:rsidP="2030048C">
      <w:pPr>
        <w:pStyle w:val="p"/>
        <w:jc w:val="both"/>
        <w:rPr>
          <w:rFonts w:ascii="Arial" w:eastAsia="Arial" w:hAnsi="Arial" w:cs="Arial"/>
          <w:sz w:val="24"/>
          <w:szCs w:val="24"/>
        </w:rPr>
      </w:pPr>
      <w:r w:rsidRPr="2030048C">
        <w:rPr>
          <w:rFonts w:ascii="Arial" w:eastAsia="Arial" w:hAnsi="Arial" w:cs="Arial"/>
          <w:color w:val="000000"/>
          <w:sz w:val="22"/>
          <w:szCs w:val="22"/>
        </w:rPr>
        <w:t>Guided learning activities require students to study independently. Independent study will include preparation for scheduled sessions, follow-up work to consolidate learning derived from scheduled sessions, wider reading and practice, completion of assessment tasks and revision. The relative amounts of time that students are expected to spend engaged in scheduled activities and independent study varies between modules but is set out in each module descriptor. During the programme, independent study will be guided through Canvas under the direction of relevant module teams. Students will also have access to and be encouraged to use their Personal Tutor to ensure they make best use of their independent study time. </w:t>
      </w:r>
    </w:p>
    <w:p w:rsidRPr="2030048C" w:rsidP="2030048C">
      <w:pPr>
        <w:pStyle w:val="p"/>
        <w:jc w:val="both"/>
        <w:rPr>
          <w:rFonts w:ascii="Arial" w:eastAsia="Arial" w:hAnsi="Arial" w:cs="Arial"/>
          <w:sz w:val="24"/>
          <w:szCs w:val="24"/>
        </w:rPr>
      </w:pPr>
      <w:r w:rsidRPr="2030048C">
        <w:rPr>
          <w:rFonts w:ascii="Arial" w:eastAsia="Arial" w:hAnsi="Arial" w:cs="Arial"/>
          <w:color w:val="000000"/>
          <w:sz w:val="22"/>
          <w:szCs w:val="22"/>
        </w:rPr>
        <w:t>To further support students and integrate the role of the personal tutor within the academic programme structure, all personal tutors will be advised of the nature and timing of the assessments for each module on their tutee’s programme. This will enable tutors to identify and discuss areas of strength and weakness in each individual student’s skills and knowledge set.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2"/>
          <w:szCs w:val="22"/>
        </w:rPr>
        <w:t>The University has several methods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Questionnaires (MEQs), level surveys and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2"/>
          <w:szCs w:val="22"/>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68"/>
        <w:gridCol w:w="942"/>
        <w:gridCol w:w="942"/>
        <w:gridCol w:w="96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2F94F2B-CA73-4EC1-A4AE-5FA8611109D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