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Management and Entrepreneurship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31/08/2017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Strategy, Marketing and Innovation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Entrepreneurship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Ordinary Degree in Business Management and Entrepreneurship</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Certificate in Higher Education in Business Management and Entrepreneurship</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in Higher Education in Business Management and Entrepreneurship</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UFBME1BME20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N120 (3 years)</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Entrepreneurship with Placement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USBME1BME45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Entrepreneurship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UFBME1BME55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Business School, Faculty of Business and Social Sciences,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Association for the Advancement of Collegiate Schools of Business (AACSB)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European Foundation for Management Development (EFMD)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36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 xml:space="preserve">None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course has been designed with an employer-, industry- and student- led focus and aims to develop graduates with a strong entrepreneurial business knowledge and skill set, with an additional emphasis on helping students to find their career path or set up their own business.  Through the modules and the embedded skills development, it provides students with a direct line of sight to graduate roles, with options that allow students to specialise or retain a broad knowledge base.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exists as part of a suite of undergraduate business programmes and students may study alongside students on, e.g., BSc (Hons) Business Management and BSc (Hons) International Business courses.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BSc (Hons) Business Management and Entrepreneurship programme develops students’ business knowledge to deliver successfully in an entrepreneurial environment or start up their own business.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 BSc (Hons) Business Management and Entrepreneurship student will understand the general business environment for any start-up.  They will develop their understanding and experience of data and digital business for small organisations and understanding of the importance of partnerships, networks and customers in service mindset in business relationships.  They will develop their creative toolset to better focus their ideas on business deliverables and they will develop effective programmes for their marketing success.  As they progress, they will learn how to design a set of strategic options for their business into the future and gain the skills to manage their own business infrastructure e.g., customer databases, presentation and negotiation.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Aims of the Course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to: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in students the skills required to secure and thrive in graduate-level employment, research, further study or set up their own business.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in students their ability to recognise their skills, evidence them and articulate them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graduates for business and management roles in all types of entrepreneurial environments, including their own business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in-depth knowledge and understanding of the core elements of business and management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opportunity to acquire technical qualifications and connections to industry.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2B838820" w:rsidP="2030048C" w14:paraId="4F3658D9"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9"/>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and critical understanding of how business elements interrelate and affect overall organisational performance in SMEs and other entrepreneurial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evaluate and draw inferences from business information and other relevant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environments, and with others and get things done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critically evaluate complex entrepreneurial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and communicate business ideas/models using ICT software tools to an audience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an in-depth knowledge and understanding of the key functional business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an enterprising mindset to create value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4: Global Business Environments (core 30 credit), People and Organisations (core 30 credit), Data and Technology in Business (core 30 credits) and Marketing &amp; Sales (core 30 credits).</w:t>
      </w:r>
      <w:r w:rsidRPr="2030048C">
        <w:rPr>
          <w:rFonts w:ascii="Arial" w:eastAsia="Arial" w:hAnsi="Arial" w:cs="Arial"/>
          <w:color w:val="000000" w:themeColor="text1" w:themeShade="FF" w:themeTint="FF"/>
          <w:sz w:val="24"/>
          <w:szCs w:val="24"/>
        </w:rPr>
        <w:br/>
      </w:r>
      <w:r w:rsidRPr="2030048C">
        <w:rPr>
          <w:rFonts w:ascii="Arial" w:eastAsia="Arial" w:hAnsi="Arial" w:cs="Arial"/>
          <w:color w:val="000000" w:themeColor="text1" w:themeShade="FF" w:themeTint="FF"/>
          <w:sz w:val="24"/>
          <w:szCs w:val="24"/>
        </w:rPr>
        <w:t>Level 5: Accounting &amp; Financial Management (core 30 credit), Business Design Thinking (core 30 credit), Sustainable &amp; Responsible Management (core 30 credit), Build my Business (core 30 credit).</w:t>
      </w:r>
      <w:r w:rsidRPr="2030048C">
        <w:rPr>
          <w:rFonts w:ascii="Arial" w:eastAsia="Arial" w:hAnsi="Arial" w:cs="Arial"/>
          <w:color w:val="000000" w:themeColor="text1" w:themeShade="FF" w:themeTint="FF"/>
          <w:sz w:val="24"/>
          <w:szCs w:val="24"/>
        </w:rPr>
        <w:br/>
      </w:r>
      <w:r w:rsidRPr="2030048C">
        <w:rPr>
          <w:rFonts w:ascii="Arial" w:eastAsia="Arial" w:hAnsi="Arial" w:cs="Arial"/>
          <w:color w:val="000000" w:themeColor="text1" w:themeShade="FF" w:themeTint="FF"/>
          <w:sz w:val="24"/>
          <w:szCs w:val="24"/>
        </w:rPr>
        <w:t>Level 6: Building Business Strategy (core 30 credits), Leadership Transformation &amp; Complexity (core 30 credit), International Entrepreneurship in SMEs (core 30 credit), Future Skills Apply (core 15 credit), Fundraising and Pitching (core 15 credit).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module booklets.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0" w:anchor="blockid21000" w:tgtFrame="_blank"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Entrepreneurship</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Entrepreneurship</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Data and Technology in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Marketing &amp; Sales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BM4800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Organisations &amp; People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 and Entrepreneurship</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Accounting &amp; Financial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Build my business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Business Design Thinking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BS5404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Sustainable and Responsible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Entrepreneurship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Fundraising and Pitching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BS6804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INTERNATIONAL ENTREPRENEURSHIP IN SMEs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Leadership, Transformation and Complexity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Entrepreneurship with Placement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Entrepreneurship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06"/>
        <w:gridCol w:w="232"/>
        <w:gridCol w:w="594"/>
        <w:gridCol w:w="594"/>
        <w:gridCol w:w="594"/>
        <w:gridCol w:w="609"/>
        <w:gridCol w:w="1"/>
        <w:gridCol w:w="594"/>
        <w:gridCol w:w="585"/>
        <w:gridCol w:w="585"/>
        <w:gridCol w:w="583"/>
        <w:gridCol w:w="2"/>
        <w:gridCol w:w="585"/>
        <w:gridCol w:w="594"/>
        <w:gridCol w:w="585"/>
        <w:gridCol w:w="585"/>
        <w:gridCol w:w="58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BM4800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BS5404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BS6804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hyperlink" Target="https://www.kingston.ac.uk/aboutkingstonuniversity/howtheuniversityworks/policiesandregulations/" TargetMode="Externa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9D0E0A1-FB8E-4FC2-B6A9-054F5AB6BFA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