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Business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Business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UPBPS1BPS20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UFBPS1BPS20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C816</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Psychology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Business Psychology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Psychology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Psychology with Foundation Year</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UFBSP1BSP55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Psychology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Psychology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Business Psychology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Business Psychology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USBSP1BSP45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ListParagraph0"/>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(PS6000) must be passed and cannot be compensated for any accredited award.</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A</w:t>
            </w:r>
            <w:r w:rsidRPr="158602C4">
              <w:rPr>
                <w:rStyle w:val="normaltextrun"/>
                <w:rFonts w:ascii="Arial" w:eastAsia="Arial" w:hAnsi="Arial" w:cs="Arial"/>
                <w:b w:val="0"/>
                <w:bCs w:val="0"/>
                <w:color w:val="000000" w:themeColor="text1" w:themeShade="FF" w:themeTint="FF"/>
                <w:sz w:val="24"/>
                <w:szCs w:val="24"/>
              </w:rPr>
              <w:t>n</w:t>
            </w:r>
            <w:r w:rsidRPr="158602C4">
              <w:rPr>
                <w:rStyle w:val="normaltextrun"/>
                <w:rFonts w:ascii="Arial" w:eastAsia="Arial" w:hAnsi="Arial" w:cs="Arial"/>
                <w:b w:val="0"/>
                <w:bCs w:val="0"/>
                <w:color w:val="000000" w:themeColor="text1" w:themeShade="FF" w:themeTint="FF"/>
                <w:sz w:val="24"/>
                <w:szCs w:val="24"/>
              </w:rPr>
              <w:t xml:space="preserve"> accredited award at UG Level is a 2:2 or above on any accredited route.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Business Psychology is a dynamic, fascinating and challenging discipline that applies the principles of psychology to the world of business and management. Business relies on the effective and ethical use of psychology in domains from human resource management, leadership, motivation, marketing, occupational and organisational psychology. Graduates with advanced psychological knowledge and practical business skills will be sought after in a range of organisations across the sector.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draws on expertise from Psychology and the Business School both situated within the Faculty of Business and Social Science. The degree is available as a full-field route and covers all the core areas of psychology required by the British Psychological Society (BPS) for accreditation (as well as relevant business modules), to confer Graduate Basis for Chartered membership (GBC).  There are high quality opportunities for students to learn about the applications of business psychology throughout their course with a strong emphasis on developing psychological business skills underpinned by academic theory. Uniquely, this degree will enable students to investigate human behaviour applied to the workplace using both behavioural and business methodology. Students exposed to cutting-edge research and scholarship in this field will acquire an invaluable grounding in Business and Psychology, giving students a distinct advantage in the graduate employment market. Students will thus be ideally placed to undertake further professional training to become accredited occupational psychologists as well as a host of careers in business. Thorough grounding in all areas of scientific psychology will also equip students to develop a career in any other area of psychology.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Business Psychology students can apply for an optional professional placement year to gain credible experiences in a relevant workplace that support their career ambition. The responsibility belongs to the students but the University Careers and Employability Service, the Course Leader and Personal Tutor will support this application process. All Business Psychology students are encouraged to take this option and are supported in the development of pre-requisite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is designed to develop a strong theoretical and applied knowledge base in Business Psychology while also aiming to develop some of the most employer-valued skills in an increasingly competitive job market. These work skills include teamwork, communication, time and task management skills, data analysis, problem solving, and critical evaluation. As a Kingston University course, we are also committed to ensuring that our graduates emerge with the future skills identified in our Town House Strategy, which include innovation, problem-solving, and creative thinking.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an understanding of the core areas of psychology, as defined by the BPS, and achieve GBC while also exposing students to a range of approaches, applications, and skills directly relating to business and business psychology;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an enthusiasm for and knowledge of the discipline of psychology;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 sound knowledge base in the discipline of business psychology;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make students aware of the interdependence of theory and evidence and of the relevance of psychology and business psychology to real world problems;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competence in the skills of psychological reasoning;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critically evaluate theories, debates and research in psychology, business, and business psychology;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design and execute empirical research;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opportunities for the acquisition of generic skills in written and oral communication, independent learning, teamwork, information technology, and numeracy;  </w:t>
      </w:r>
    </w:p>
    <w:p w:rsidRPr="2030048C" w:rsidP="2030048C">
      <w:pPr>
        <w:pStyle w:val="ListParagraph"/>
        <w:numPr>
          <w:ilvl w:val="0"/>
          <w:numId w:val="20"/>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 broadly based undergraduate course which will provide good career opportunities;  </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raise students’ awareness of ethical issues and their appropriate resolution in psychological research;  </w:t>
      </w:r>
    </w:p>
    <w:p w:rsidRPr="2030048C" w:rsidP="2030048C">
      <w:pPr>
        <w:pStyle w:val="ListParagraph"/>
        <w:numPr>
          <w:ilvl w:val="0"/>
          <w:numId w:val="2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an undergraduate course leading to good career opportunities in a number of business settings </w:t>
      </w:r>
    </w:p>
    <w:p w:rsidRPr="2030048C" w:rsidP="2030048C">
      <w:pPr>
        <w:pStyle w:val="ListParagraph"/>
        <w:numPr>
          <w:ilvl w:val="0"/>
          <w:numId w:val="2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students the foundation to continue to study for professionally controlled postgraduate qualifications.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of business and economic concepts, marketing, human and financial resource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ability to use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ethical considerations and their importance in psychological practice, research and business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more extensive knowledge of the way in which business psychology and psychology as a whole, has an impact upon organisations,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in particular business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psychology with (b) areas of in-depth specialisation in business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relevant literature, and present and evaluate research findings to a high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 range of psychological theories and approaches which cover key aspects of psychology, and, (b) additional knowledge and understanding of a range of specialist approaches relating to business psychology which go beyond the standard key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Typically a student must complete 120 credits at each level. All students will be provided with the University regulations and specific additions that are required for accreditation by the British Psychological Society.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Psychology is accredited by the British Psychological Society1 and confers GBC (Graduate Basis for Chartered) membership on successful candidates, namely, students who have attained at least a lower second-class honours degree.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Business Psychology course is part of the University’s Undergraduate Modular scheme (UMS). Courses in the UMS are composed of modules, which are assigned to Levels. There are three levels that are progressively more challenging in terms of their aims, objectives and learning outcomes. Each course contributes to a programme of study that is normally made up of various modules at every level, with each module worth 15 or 30 credits.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modules are core within the first two years, Levels 4 and 5. At Level 6 the Research Project, and Occupational Psychology module together constitute the capstone, the culmination of the students’ careers in the Department. At Level 6, an optional 30 credit module can be taken either in Psychology or Business.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Business Psychology course culminates in an honours degree and it is the higher levels (5 and 6) that contribute to the classification of the degree. Intermediate awards are normally available after completion of a level. Students who complete 120 credits at level 4 but decide to discontinue their studies at that point are eligible for the award of a Certificate of Higher Education. Students who complete 120 credits at level 5 but decide to discontinue are eligible for the award of a Diploma of Higher Education.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has been designed to offer coherence and progression at each level and throughout the course.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degree modules, please refer to the Foundation Year in Social and Behavioural Sciences programme specification.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5 requires 90 credits including passes in Research Methods 1 and Foundations of Psychology and Business Management. </w:t>
      </w:r>
      <w:r w:rsidRPr="2030048C">
        <w:rPr>
          <w:rStyle w:val="normaltextrun"/>
          <w:rFonts w:ascii="Arial" w:eastAsia="Arial" w:hAnsi="Arial" w:cs="Arial"/>
          <w:color w:val="000000" w:themeColor="text1" w:themeShade="FF" w:themeTint="FF"/>
          <w:sz w:val="22"/>
          <w:szCs w:val="22"/>
        </w:rPr>
        <w:t>These two modules cannot be trailed and must be passed before students proceed to Level 5.</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field/course at this point who have successfully completed 120 credits are eligible for the award of Certificate of Higher Education in Business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Individual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6 requires 120 credits including passes in all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240 credits are eligible for the award of Diploma of Higher Education in Business Psychology.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PS5003</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6 requires the completion of the three compulsory modules and one optional module.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Psychology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Psychology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Laboratory Sessions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Lectures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Seminars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Tutorials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Workshops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2"/>
          <w:szCs w:val="22"/>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2"/>
          <w:szCs w:val="22"/>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A Course Leader to help students understand the course structure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Personal Tutors to provide academic and personal support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Technical support to advise students on IT and the use of software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Student Voice Committee – to ensure the views of students are heard</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Canvas – Kingston University’s Virtual Learning Environment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Student support facilities that can provide advice on issues such as finance, regulations, legal matters, accommodation, international student support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Disabled student support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Student Development and Graduate Success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Psychology facilities (including a range of laboratories, equipment and software supported by a Psychology technician)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 </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Annual </w:t>
      </w:r>
      <w:r w:rsidRPr="2030048C">
        <w:rPr>
          <w:rFonts w:ascii="Arial" w:eastAsia="Arial" w:hAnsi="Arial" w:cs="Arial"/>
          <w:sz w:val="24"/>
          <w:szCs w:val="24"/>
        </w:rPr>
        <w:t>M</w:t>
      </w:r>
      <w:r w:rsidRPr="2030048C">
        <w:rPr>
          <w:rFonts w:ascii="Arial" w:eastAsia="Arial" w:hAnsi="Arial" w:cs="Arial"/>
          <w:sz w:val="24"/>
          <w:szCs w:val="24"/>
        </w:rPr>
        <w:t>onitoring and</w:t>
      </w:r>
      <w:r w:rsidRPr="2030048C">
        <w:rPr>
          <w:rFonts w:ascii="Arial" w:eastAsia="Arial" w:hAnsi="Arial" w:cs="Arial"/>
          <w:sz w:val="24"/>
          <w:szCs w:val="24"/>
        </w:rPr>
        <w:t xml:space="preserve"> E</w:t>
      </w:r>
      <w:r w:rsidRPr="2030048C">
        <w:rPr>
          <w:rFonts w:ascii="Arial" w:eastAsia="Arial" w:hAnsi="Arial" w:cs="Arial"/>
          <w:sz w:val="24"/>
          <w:szCs w:val="24"/>
        </w:rPr>
        <w:t>nhancement</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MEQs, level surveys and the NSS</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7"/>
        </w:numPr>
        <w:ind w:left="720" w:right="0" w:hanging="360"/>
        <w:jc w:val="left"/>
        <w:rPr>
          <w:rFonts w:ascii="Arial" w:eastAsia="Arial" w:hAnsi="Arial" w:cs="Arial"/>
          <w:sz w:val="24"/>
          <w:szCs w:val="24"/>
        </w:rPr>
      </w:pPr>
      <w:r w:rsidRPr="2030048C">
        <w:rPr>
          <w:rFonts w:ascii="Arial" w:eastAsia="Arial" w:hAnsi="Arial" w:cs="Arial"/>
          <w:sz w:val="24"/>
          <w:szCs w:val="24"/>
        </w:rPr>
        <w:t>Accred</w:t>
      </w:r>
      <w:r w:rsidRPr="2030048C">
        <w:rPr>
          <w:rFonts w:ascii="Arial" w:eastAsia="Arial" w:hAnsi="Arial" w:cs="Arial"/>
          <w:sz w:val="24"/>
          <w:szCs w:val="24"/>
        </w:rPr>
        <w:t>itatio</w:t>
      </w:r>
      <w:r w:rsidRPr="2030048C">
        <w:rPr>
          <w:rFonts w:ascii="Arial" w:eastAsia="Arial" w:hAnsi="Arial" w:cs="Arial"/>
          <w:sz w:val="24"/>
          <w:szCs w:val="24"/>
        </w:rPr>
        <w:t>n and periodic reaccreditation</w:t>
      </w:r>
      <w:r w:rsidRPr="2030048C">
        <w:rPr>
          <w:rFonts w:ascii="Arial" w:eastAsia="Arial" w:hAnsi="Arial" w:cs="Arial"/>
          <w:sz w:val="24"/>
          <w:szCs w:val="24"/>
        </w:rPr>
        <w:t xml:space="preserve"> by the British Psychological Society.</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2"/>
        <w:gridCol w:w="252"/>
        <w:gridCol w:w="627"/>
        <w:gridCol w:w="627"/>
        <w:gridCol w:w="627"/>
        <w:gridCol w:w="644"/>
        <w:gridCol w:w="1"/>
        <w:gridCol w:w="627"/>
        <w:gridCol w:w="636"/>
        <w:gridCol w:w="627"/>
        <w:gridCol w:w="625"/>
        <w:gridCol w:w="2"/>
        <w:gridCol w:w="627"/>
        <w:gridCol w:w="627"/>
        <w:gridCol w:w="636"/>
        <w:gridCol w:w="62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multilevel"/>
    <w:tmpl w:val="74989B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CB6389B-34D1-46E8-8470-DF3471E06C8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