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Supply Chain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UFBMC1BMC20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UFBMC1BMC55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USBMC1BMC45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N28P</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logistics and supply chain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fluent,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logistics and supply chain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and management and supply chain,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critically evaluate the integration of supply chain and logistics operations with other business functions to achieve end-to-end efficiency, innovation, resilience, and sustainable value creation.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innovative and analytical mindset to develop supply chain and logistics solutions that create value in dynamic, technology-driven, and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opportunities for innovation and develop creative problem solving contributing to sustainable supply chain practices, including circular economy principles, ethical sourcing, and responsible consumption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understanding of how supply chain design, logistics networks, and procurement strategies influence organisational performance and competitiveness in the marketplace.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supply chain and logistics strategies using advanced analytical frameworks, data-driven insights, and evidence-based approaches to enhance resilience, sustainability, and operational excellence.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effectively in diverse and cross-cultural environments, demonstrating adaptability, empathy, and critical thinking to manage complex logistics and supply chain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Supply Chain programme is structured around a core spine of business management modules that span all three levels, ensuring students develop a strong foundation in key business principles. This spine is complemented by specialist modules in logistics and supply chain management, which are introduced progressively from Level 4 and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 Sustainable and Responsible Management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Supply Chain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Supply Chain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Logistics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BO5003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Supply Chain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BO6001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Supply Chain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BO6002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Supply Chain.</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Supply Chain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 (Association of American Collegiate Schools of Business (AACSB), Chartered Institute of Logistics and Transport (CILT), Chartered Institute of Procurement and Supply (CIPS)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and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1"/>
        <w:gridCol w:w="216"/>
        <w:gridCol w:w="554"/>
        <w:gridCol w:w="554"/>
        <w:gridCol w:w="554"/>
        <w:gridCol w:w="567"/>
        <w:gridCol w:w="2"/>
        <w:gridCol w:w="554"/>
        <w:gridCol w:w="554"/>
        <w:gridCol w:w="545"/>
        <w:gridCol w:w="561"/>
        <w:gridCol w:w="551"/>
        <w:gridCol w:w="3"/>
        <w:gridCol w:w="561"/>
        <w:gridCol w:w="561"/>
        <w:gridCol w:w="545"/>
        <w:gridCol w:w="554"/>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B460D99-B42E-420E-8E4C-0491E624A1C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