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Business Management and Marketing</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04/08/2023</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04/02/2025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 xml:space="preserve">Teaching Out </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14</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Business and Social Sciences</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Business School</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Strategy, Marketing and Innovation</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Business Management and Marketing</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Ordinary Degree in Business Management and Marketing</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Certificate in Higher Education in Business Management and Marketing</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Diploma in Higher Education in Business Management and Marketing</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UFBMM1BMM20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N297</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Hill</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00A92C9B" w:rsidRPr="00BF1022" w:rsidP="2030048C" w14:paraId="749FB0F8" w14:textId="47CAF514">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rPr>
              <w:t>Association for the Advancement of Collegiate Schools of Business (AACSB)</w:t>
            </w: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792E11A3" w:rsidP="158602C4" w14:paraId="155FC85F"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n/a</w:t>
            </w: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programme aims to:</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in students the skills required to secure and thrive in graduate-level employment, research, further study and lifelong learning.</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Develop in students their ability to recognise their skills, evidence them and articulate them </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Prepare graduates for business, management and marketing roles in all types of organisations and sectors</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Equip students with the in-depth knowledge and understanding of the core elements of business, management and marketing</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Provide students with the opportunity to acquire technical qualifications and connections to industry.</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2B838820" w:rsidP="2030048C" w14:paraId="4F3658D9"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9"/>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Explain and critically evaluate complex business environments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Use data to identify and solve unstructured business problems, and make evidence-based decisions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Implement current and emerging digital and technological solutions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Communicate an in-depth knowledge and understanding of the key functional business areas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Use an enterprising mindset to create value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Identify business and marketing opportunities and make a difference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a detailed and critical understanding of how business and marketing elements interrelate and affect overall organisational performance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Interpret, analyse, evaluate and draw inferences from business and marketing related information and other relevant information sources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Work effectively in diverse environments, and with others and get things done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a critical awareness and understanding of current issues of global concern such as sustainability, ethics and social responsibility and how these relate to contemporary business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Use relevant critical, creative or entrepreneurial skills to deal with management problems and issues to produce recommendations for decision and subsequent action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Conduct and present themselves in a professional manner appropriate for the workplace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br/>
      </w:r>
      <w:r w:rsidRPr="2030048C">
        <w:rPr>
          <w:rFonts w:ascii="Arial" w:eastAsia="Arial" w:hAnsi="Arial" w:cs="Arial"/>
          <w:color w:val="000000" w:themeColor="text1" w:themeShade="FF" w:themeTint="FF"/>
          <w:sz w:val="24"/>
          <w:szCs w:val="24"/>
        </w:rPr>
        <w:t>Ou</w:t>
      </w:r>
      <w:r w:rsidRPr="2030048C">
        <w:rPr>
          <w:rFonts w:ascii="Arial" w:eastAsia="Arial" w:hAnsi="Arial" w:cs="Arial"/>
          <w:color w:val="000000" w:themeColor="text1" w:themeShade="FF" w:themeTint="FF"/>
          <w:sz w:val="22"/>
          <w:szCs w:val="22"/>
        </w:rPr>
        <w:t>tline programme structure:</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Level 4: Global Business Environments (core 30 credit), People and Organisations (core 30 credit), Data and Technology in Business (core 30 credits) and Marketing &amp; Sales (core 30 credits).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Level 5: Accounting &amp; Financial Management (core 30 credit), Business Design Thinking (core 30 credit), Sustainable &amp; Responsible Management (core 30 credit), Customer Insights and Market Research (core 30 credit).</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Optional Sandwich Year</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Level 6: Building Business Strategy (core 30 credits), Leadership Transformation &amp; Complexity (core 30 credit), Social media Strategy Development (core 30 credit), Future Skills Apply (core 15 credit), CSR in Marketing (core 15 credit).</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Full details of each module will be provided in module descriptors and module booklets.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Note: As per </w:t>
      </w:r>
      <w:hyperlink r:id="rId10" w:anchor="blockid21000" w:history="1">
        <w:r w:rsidRPr="2030048C">
          <w:rPr>
            <w:rFonts w:ascii="Arial" w:eastAsia="Arial" w:hAnsi="Arial" w:cs="Arial"/>
            <w:color w:val="000000" w:themeColor="text1" w:themeShade="FF" w:themeTint="FF"/>
            <w:sz w:val="22"/>
            <w:szCs w:val="22"/>
          </w:rPr>
          <w:t>GR5</w:t>
        </w:r>
      </w:hyperlink>
      <w:r w:rsidRPr="2030048C">
        <w:rPr>
          <w:rFonts w:ascii="Arial" w:eastAsia="Arial" w:hAnsi="Arial" w:cs="Arial"/>
          <w:color w:val="000000" w:themeColor="text1" w:themeShade="FF" w:themeTint="FF"/>
          <w:sz w:val="24"/>
          <w:szCs w:val="24"/>
        </w:rPr>
        <w:t xml:space="preserve"> within the general regulations, the University aims to ensure that all option modules listed below are delivered. However, for various reasons, such as demand, the availability of option modules may vary from year to year or between teaching blocks</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The University will notify students by email as soon as these circumstances arise.</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Business Management and Marketing</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Business Management and Marketing</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Data and Technology in Business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BB4206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Global Business Environments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BB4207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Marketing &amp; Sales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BM4800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Organisations &amp; People</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BH4105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sz w:val="24"/>
          <w:szCs w:val="24"/>
        </w:rPr>
        <w:t xml:space="preserve">This course permits progression from level 4 to level 5 with 90 credits at level 4 or above. The outstanding 30 credits from level 4 can be trailed into level 5 and must be passed before progression to level 6. </w:t>
      </w:r>
    </w:p>
    <w:p w:rsidR="7A33046F"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course at this point who have successfully completed 120 credits at level 4 or above are eligible for the award of Certificate of Higher Education in Business Management and Marketing.</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Business Management and Marketing</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Accounting &amp; Financial Management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BA5812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Business Design Thinking</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BS5404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Customer Insights and Market Research</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BM5214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Sustainable and Responsible Management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BS5205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ED519C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1FC664C" w14:textId="03C15C9E">
            <w:pPr>
              <w:rPr>
                <w:rFonts w:ascii="Arial" w:eastAsia="Arial" w:hAnsi="Arial" w:cs="Arial"/>
                <w:sz w:val="24"/>
                <w:szCs w:val="24"/>
              </w:rPr>
            </w:pPr>
            <w:r w:rsidRPr="7AD52F4D" w:rsidR="06A3B627">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A2434B1" w14:textId="0EA4E7AA">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6C534" w14:textId="783B089B">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D46A005" w14:textId="49262EB7">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DB59B4E" w14:textId="44FA361C">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7BECB" w14:textId="151C3355">
            <w:pPr>
              <w:jc w:val="center"/>
              <w:rPr>
                <w:rFonts w:ascii="Arial" w:eastAsia="Arial" w:hAnsi="Arial" w:cs="Arial"/>
                <w:sz w:val="24"/>
                <w:szCs w:val="24"/>
              </w:rPr>
            </w:pP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44984E" w14:textId="7C66223A">
            <w:pPr>
              <w:jc w:val="center"/>
              <w:rPr>
                <w:rFonts w:ascii="Arial" w:eastAsia="Arial" w:hAnsi="Arial" w:cs="Arial"/>
                <w:sz w:val="24"/>
                <w:szCs w:val="24"/>
              </w:rPr>
            </w:pP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5847AB7" w14:textId="72CBD8C5">
            <w:pPr>
              <w:jc w:val="center"/>
              <w:rPr>
                <w:rFonts w:ascii="Arial" w:eastAsia="Arial" w:hAnsi="Arial" w:cs="Arial"/>
                <w:sz w:val="24"/>
                <w:szCs w:val="24"/>
              </w:rPr>
            </w:pPr>
          </w:p>
        </w:tc>
      </w:tr>
      <w:tr w14:paraId="5D7D13A1"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B1728E1" w14:textId="0EF531FA">
            <w:pPr>
              <w:rPr>
                <w:rFonts w:ascii="Arial" w:eastAsia="Arial" w:hAnsi="Arial" w:cs="Arial"/>
                <w:sz w:val="24"/>
                <w:szCs w:val="24"/>
                <w:lang w:val="en-GB"/>
              </w:rPr>
            </w:pPr>
            <w:r w:rsidRPr="2030048C" w:rsidR="073AEBF5">
              <w:rPr>
                <w:rFonts w:ascii="Arial" w:eastAsia="Arial" w:hAnsi="Arial" w:cs="Arial"/>
                <w:sz w:val="24"/>
                <w:szCs w:val="24"/>
                <w:lang w:val="en-GB"/>
              </w:rPr>
              <w:t>Year-Long Work Placement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CF6C762"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BH5030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CFEC962"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B2F918E"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8E3ACBA"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AD489F6"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BBE4BE"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7BB90B" w14:textId="31F07BCA">
            <w:pPr>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This course permits progression from level 5 to level 6 with 90 credits at level 5 or above. The outstanding 30 credits from level 5 can be trailed into level 6 and must be passed before consideration for an award. </w:t>
      </w:r>
    </w:p>
    <w:p w:rsidR="3891A81D"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3891A81D"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on the with Professional Placement route will progress to the placement module in year 3</w:t>
      </w:r>
    </w:p>
    <w:p w:rsidR="3891A81D"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3891A81D"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at this point who have successfully completed 120 credits at level 5 or above are eligible for the award of Diploma of Higher Education in Business Management and Marketing. </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Business Management and Marketing</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Building Business Strategy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BS6206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CSR in Marketing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BM6211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Leadership, Transformation and Complexity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BH6016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Social Media Strategy Development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BM6214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without completing the full 120 credits but have successfully completed 60 credits at level 6 or above are eligible for the award of an Ordinary Degree.</w:t>
      </w:r>
    </w:p>
    <w:p w:rsidR="66934EB1" w:rsidP="2030048C"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could include: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097"/>
        <w:gridCol w:w="229"/>
        <w:gridCol w:w="1"/>
        <w:gridCol w:w="588"/>
        <w:gridCol w:w="1"/>
        <w:gridCol w:w="604"/>
        <w:gridCol w:w="1"/>
        <w:gridCol w:w="588"/>
        <w:gridCol w:w="1"/>
        <w:gridCol w:w="587"/>
        <w:gridCol w:w="1"/>
        <w:gridCol w:w="1"/>
        <w:gridCol w:w="588"/>
        <w:gridCol w:w="1"/>
        <w:gridCol w:w="579"/>
        <w:gridCol w:w="1"/>
        <w:gridCol w:w="579"/>
        <w:gridCol w:w="1"/>
        <w:gridCol w:w="603"/>
        <w:gridCol w:w="1"/>
        <w:gridCol w:w="1"/>
        <w:gridCol w:w="579"/>
        <w:gridCol w:w="1"/>
        <w:gridCol w:w="588"/>
        <w:gridCol w:w="1"/>
        <w:gridCol w:w="604"/>
        <w:gridCol w:w="1"/>
        <w:gridCol w:w="604"/>
        <w:gridCol w:w="1"/>
        <w:gridCol w:w="578"/>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8"/>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9"/>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11"/>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BB4207</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BM4800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BH4105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BB4206</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BA5812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BS5404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BS5205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BM5214</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BS6206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BH6016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BM6214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BM6211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hyperlink" Target="https://www.kingston.ac.uk/aboutkingstonuniversity/howtheuniversityworks/policiesandregulations/" TargetMode="Externa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56bcba56-1e8e-456b-9282-2a60465f51d5">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CCC6ED66-D697-49EB-982D-7518D00A943E}"/>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ComplianceAssetId">
    <vt:lpwstr/>
  </property>
  <property fmtid="{D5CDD505-2E9C-101B-9397-08002B2CF9AE}" pid="22" name="_ExtendedDescription">
    <vt:lpwstr/>
  </property>
  <property fmtid="{D5CDD505-2E9C-101B-9397-08002B2CF9AE}" pid="23" name="TriggerFlowInfo">
    <vt:lpwstr/>
  </property>
</Properties>
</file>