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Marketing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17/03/2025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Marketing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Ordinary Degree in Business Management and Marketing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 in Business Management and Marketing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and Marketing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UFBMM1BMM20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N297</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00A92C9B" w:rsidRPr="00BF1022" w:rsidP="2030048C" w14:paraId="749FB0F8" w14:textId="47CAF51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n/a</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 students the skills required to secure and thrive in graduate-level employment, research, further study and lifelong learning.</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their ability to recognise their skills, evidence them and articulate them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graduates for business, management and marketing roles in all types of organisations and sectors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in-depth knowledge and understanding of the core elements of business, management and marketing</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and marketing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and marketing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and marketing related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Marketing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Marketing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BS4206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Digital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Service Mindset in Business Relationships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 and Marketing.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Marketing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Customer Insights and Market Research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Developing Effective Marketing Programmes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Business Management and Marketing.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Marketing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Social Media Strategy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Data and Digital Driven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BB6115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Digital Creativity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BM6213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r w14:paraId="4893114B"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The Learning Organisation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BH6014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76"/>
        <w:gridCol w:w="246"/>
        <w:gridCol w:w="631"/>
        <w:gridCol w:w="631"/>
        <w:gridCol w:w="622"/>
        <w:gridCol w:w="631"/>
        <w:gridCol w:w="631"/>
        <w:gridCol w:w="649"/>
        <w:gridCol w:w="649"/>
        <w:gridCol w:w="621"/>
        <w:gridCol w:w="1"/>
        <w:gridCol w:w="649"/>
        <w:gridCol w:w="631"/>
        <w:gridCol w:w="622"/>
        <w:gridCol w:w="620"/>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BS4206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2F72AD5-8D23-416B-87A9-D8248E78EEB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