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Business Management and Marketing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04/08/2023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25/03/2026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16</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Strategy, Marketing and Innovation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Management and Marketing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BSc Business Management and Marketing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Certificate in Higher Education in Business Management and Marketing</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Diploma in Higher Education in Business Management and Marketing</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UFBMM1BMM20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N297</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Management and Marketing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BSc Business Management and Marketing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Diploma in Higher Education Business Management and Marketing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Certificate in Higher Education in Business Management and Marketing with Professional Placement</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USBMM1BMM45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792E11A3" w:rsidP="158602C4" w14:paraId="155FC85F"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n/a</w:t>
            </w: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programme aims to:</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students with a strong foundation in core business management principles.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students’ expertise in the principles and practice of marketing</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graduates who are digitally competent, enterprising, ethically aware, and capable of addressing sustainability challenges.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Ensure students develop the right skills and knowledge to meet the evolving demands of current and emerging industry needs and global concerns.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Prepare students for graduate-level employment primarily for management of the marketing function in business, further study, and lifelong learning embedding professional practice and industry engagement.</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and critically evaluate complex business environments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data to identify and solve unstructured business problems, and make evidence-based decisions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Implement current and emerging digital and technological solutions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critical understanding of the relationship between business management and marketing functions to enhance organisational innovation, efficiency, and responsible management.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an enterprising mindset to create value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Identify business and marketing opportunities and contribute to sustainable innovation and responsible consumption practices.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detailed and critical understanding of how business and marketing elements interrelate and affect overall organisational performance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Interpret, analyse, evaluate and draw inferences from business and marketing related information and other relevant information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effectively in diverse and cross-cultural environments, demonstrating a questioning mindset, empathy, adaptability, and collaboration.</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critical awareness and understanding of current issues of global concern such as sustainability, ethics and social responsibility and how these relate to contemporary business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relevant critical, creative or entrepreneurial skills to deal with management and marketing problems and issues to produce recommendations for decision and subsequent action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Conduct and present themselves in a professional manner appropriate for the workplace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For students on the professional placement only: A deep understanding of working practices through practical experience.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BSc (Hons) Business Management and Marketing programme is structured around a core spine of business management modules that span all three levels, ensuring students develop a strong foundation in key business principles. This spine is complemented by specialist modules in marketing which are introduced progressively from Level 4 and become more prominent at Levels 5 and 6.</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requirements are embedded as follows: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Navigate is embedded into BH4105</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Explore is embedded into BS5205</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Apply module is delivered at Level 6.</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Management and Marketing</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Management and Marketing</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Data and Technology in Business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Global Business Environments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BB4207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Marketing and Sales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BM4800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Organisations &amp; People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BH4105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4 to level 5 with 90 credits at level 4 or above. The outstanding 30 credits from level 4 can be trailed into level 5 and must be passed before progression to level 6.</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Business Management and Marketing.</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For students on the placement route, the successful completion of BH5030 module will be required for the award of the professional placement exit award. If a student does not secure a placement or does not complete the professional placement, they will automatically be transferred to the without placement route.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Business Management and Marketing</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Accounting &amp; Financial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BA5812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Analytics and AI for Marketing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BM5002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Customer Insights and Market Research</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BM5214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Sustainable and Responsible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BS5205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This course permits progression from level 5 to level 6 with 90 credits at level 5 or above. The outstanding 30 credits from level 5 can be trailed into level 6 and must be passed before consideration for an award.</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on the with Professional Placement route will progress to the placement module in year 3</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in Business Management and Marketing.</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For students on the placement route, the successful completion of BH5030 module will be required for the award of the professional placement exit award. If a student does not secure a placement or does not complete the professional placement, they will automatically be transferred to the without placement route. </w:t>
      </w:r>
      <w:r w:rsidRPr="2030048C">
        <w:rPr>
          <w:rStyle w:val="normaltextrun"/>
          <w:rFonts w:ascii="Arial" w:eastAsia="Arial" w:hAnsi="Arial" w:cs="Arial"/>
          <w:color w:val="000000" w:themeColor="text1" w:themeShade="FF" w:themeTint="FF"/>
          <w:sz w:val="24"/>
          <w:szCs w:val="24"/>
        </w:rPr>
        <w:t xml:space="preserve">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Management and Marketing</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AI for Business &amp; Innovation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Building Business Strategy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CSR in Marketing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BM6215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Social Media Strategy Development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BM6214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For students on the placement route, the successful completion of BH5030 module will be required for the award of the professional placement exit award. If a student does not secure a placement or does not complete the professional placement, they will automatically be transferred to the without placement route.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Management and Marketing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Business Management and Marketing with Professional Placement</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Year-Long Work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BH5030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For students on the placement route, the successful completion of BH5030 module will be required for the award of the professional placement exit award. If a student does not secure a placement or does not complete the professional placement, they will automatically be transferred to the without placement route. </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QAA Subject benchmarks- https://www.qaa.ac.uk/the-quality-code/subject-benchmark-statements/subject-benchmark-statement-business-and-management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028"/>
        <w:gridCol w:w="215"/>
        <w:gridCol w:w="552"/>
        <w:gridCol w:w="552"/>
        <w:gridCol w:w="552"/>
        <w:gridCol w:w="566"/>
        <w:gridCol w:w="1"/>
        <w:gridCol w:w="552"/>
        <w:gridCol w:w="567"/>
        <w:gridCol w:w="543"/>
        <w:gridCol w:w="552"/>
        <w:gridCol w:w="566"/>
        <w:gridCol w:w="1"/>
        <w:gridCol w:w="567"/>
        <w:gridCol w:w="567"/>
        <w:gridCol w:w="543"/>
        <w:gridCol w:w="543"/>
        <w:gridCol w:w="543"/>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BH4105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BB4206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BB4207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BM4800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BH5030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BM5002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BS5205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BA5812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BM5214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BM6214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BM6215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BS6206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This programme has only one approved entry point which is September </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EE57AB82-CA26-40FF-8D45-15F1AE8F3484}"/>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