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UFAFN1AFN20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N420 (three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USAFN1AFN45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This programme offers partial exemptions to the following bodies’ professional qualifications:</w:t>
            </w:r>
          </w:p>
          <w:p w:rsidRPr="2030048C" w:rsidP="2030048C">
            <w:pPr>
              <w:pStyle w:val="p"/>
              <w:spacing w:before="0" w:after="0"/>
              <w:ind w:left="33" w:right="0" w:hanging="33"/>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Association of Chartered Certified Accountants (ACCA)</w:t>
            </w:r>
          </w:p>
          <w:p w:rsidRPr="2030048C" w:rsidP="2030048C">
            <w:pPr>
              <w:pStyle w:val="p"/>
              <w:spacing w:before="0" w:after="0"/>
              <w:ind w:left="33" w:right="0" w:hanging="33"/>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Chartered Institute of Management Accountants (CIMA)</w:t>
            </w:r>
          </w:p>
          <w:p w:rsidRPr="2030048C" w:rsidP="2030048C">
            <w:pPr>
              <w:pStyle w:val="p"/>
              <w:spacing w:before="0" w:after="0"/>
              <w:ind w:left="33" w:right="0" w:hanging="33"/>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Institute of Chartered Accountants in England and Wales (ICAEW)</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 of this course is to develop independent thinkers and learners who are professional, ethical, and skilled in accounting and finance methods and techniques – ready to join employment as fully functioning members of their organisation.</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As part of this overall goal, the main features of this course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all students with an in-depth knowledge of the three main areas within these fields: financial accounting, management accounting and finance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technical skills necessary to undertake accounting and finance tasks and roles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intellectual skills necessary to evaluate and critique both theoretical and practical aspects of accounting and finance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instil an appreciation of the importance of ethical and professional behaviour in business as a whole and within accounting and finance in particular</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research, further study, and lifelong learning by developing their intellectual, practical,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(a) economic, social, organisational, and regulatory environments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 business information systems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 quantitative methods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or external to an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discuss and evaluate theory and practice of: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w:t>
              <w:tab/>
              <w:t xml:space="preserve">financial accounting and reporting,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w:t>
              <w:tab/>
              <w:t>management accounting and finance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accounting and finance,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Accounting and Finance structure is as follows: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Level 4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Core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Financial Accounting,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Management Accounting,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Business Information Analysis and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Accountant's Business Environment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Level 5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Core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Financial Reporting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Finance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Advanced Management Accounting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Students choose one 30 credits option module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Core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Theory and Practice of Financial Reporting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Corporate Finance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Students choose 60 credits option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a minimum of 90 credits at level 4 provided both BA4801 and BA4203 have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and Accounting and BSc (Hons) Business Management. Those students who transfer to level 5 of the latter will be required to study BA5201 Marketing Management as their level 5 elective.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Accounting and Finance.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Reporting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5, students can choose one 30 credits of option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120 level 4 credits and a minimum of 90 credits at level 5, provided BA5802 and BA5804 have been passed.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including the level 4 and level 5 core modules, are eligible for the award of Diploma of Higher Education in Accounting and Finance.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BA5804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Financial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BA4801 &amp; BA5802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Data-Driven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BB6807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Investments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BA6509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can choose 60 credits of option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300 credits, including all the core modules, are eligible for the award of BSc Accounting and Finance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BL5002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5, students can choose 30 credits of option modules, either one 30-credit module or two15-credit modules (one from each teaching block).</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120 level 4 credits and a minimum of 90 credits at level 5, provided BA5802 and BA5804 have been passed.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including the level 4 and level 5 core modules, are eligible for the award of Diploma of Higher Education in Accounting and Finance.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hyperlink r:id="rId11" w:history="1">
        <w:r w:rsidRPr="2030048C">
          <w:rPr>
            <w:rStyle w:val="normaltextrun"/>
            <w:rFonts w:ascii="Arial" w:eastAsia="Arial" w:hAnsi="Arial" w:cs="Arial"/>
            <w:color w:val="0000FF"/>
            <w:sz w:val="24"/>
            <w:szCs w:val="24"/>
          </w:rPr>
          <w:t xml:space="preserve">Academic regulation 14 </w:t>
        </w:r>
      </w:hyperlink>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Optional Year 3 one of</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Modules                                         Module code    Credit Value       Level     Teaching Block</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Year-long Placement                     BH5030            120                    5             1 &amp; 2</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OR</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Study Exchange                            Various              60                     5             1 or 2</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One-semester Work Placement    BL5002              60                     5             1 or 2</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OR</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Study Exchange                            Various              120                    5             1 &amp; 2</w:t>
      </w:r>
      <w:r w:rsidRPr="2030048C">
        <w:rPr>
          <w:rStyle w:val="normaltextrun"/>
          <w:rFonts w:ascii="Arial" w:eastAsia="Arial" w:hAnsi="Arial" w:cs="Arial"/>
          <w:color w:val="000000" w:themeColor="text1" w:themeShade="FF" w:themeTint="FF"/>
          <w:sz w:val="24"/>
          <w:szCs w:val="24"/>
        </w:rPr>
        <w:t xml:space="preserve">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 The Placements Team has good links with employers with positions available for students, but students are welcome to find their own placements.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4"/>
          <w:szCs w:val="24"/>
        </w:rPr>
        <w:t xml:space="preserve">The underlying teaching and learning philosophy is </w:t>
      </w:r>
      <w:r w:rsidRPr="2030048C">
        <w:rPr>
          <w:rFonts w:ascii="Arial" w:eastAsia="Arial" w:hAnsi="Arial" w:cs="Arial"/>
          <w:i/>
          <w:iCs/>
          <w:color w:val="000000"/>
          <w:sz w:val="24"/>
          <w:szCs w:val="24"/>
        </w:rPr>
        <w:t>learning by doing</w:t>
      </w:r>
      <w:r w:rsidRPr="2030048C">
        <w:rPr>
          <w:rFonts w:ascii="Arial" w:eastAsia="Arial" w:hAnsi="Arial" w:cs="Arial"/>
          <w:color w:val="000000"/>
          <w:sz w:val="24"/>
          <w:szCs w:val="24"/>
        </w:rPr>
        <w:t>. Accounting and finance are very practical subjects and require a high level of technical expertise</w:t>
      </w:r>
      <w:r w:rsidRPr="2030048C">
        <w:rPr>
          <w:rFonts w:ascii="Arial" w:eastAsia="Arial" w:hAnsi="Arial" w:cs="Arial"/>
          <w:color w:val="000000"/>
          <w:sz w:val="24"/>
          <w:szCs w:val="24"/>
        </w:rPr>
        <w:t>. O</w:t>
      </w:r>
      <w:r w:rsidRPr="2030048C">
        <w:rPr>
          <w:rFonts w:ascii="Arial" w:eastAsia="Arial" w:hAnsi="Arial" w:cs="Arial"/>
          <w:sz w:val="24"/>
          <w:szCs w:val="24"/>
        </w:rPr>
        <w:t>ur approach to teaching and learning supports this by encouraging students to be active participants in the classroom, underpinned by authentic assessments where students have the opportunity to apply their skills and knowledge gained in contexts that reflect working practices.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Current practice is at the heart of the course supported by theory and theoretical debate. A team of practitioners and research-active staff exposes students to current practice, regulations and theories, and industry guest speakers provide further opportunities for students to relate learning to real-life situations.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accounting software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By the end of the degree, students will have substantial knowledge of accounting and finance theory and practice. At level 4, students will learn about the different forms to business, various leadership and people management theories, as well as the economic environment in which businesses operate. They are introduced to both financial and management accounting practices and extensive use is made of interactive sessions to enable students to have sufficient time for practice and application of accounting techniques. The active learning environment helps students develop subject-specific skills along with team-working, IT skills and self-reflection.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Skills and knowledge are extended and advanced in level 5 which focuses on the main areas of financial reporting, management accounting and finance. Team working and presentation skills are developed and assessed, and students undergo a mock assessment centre, giving them vital experience of this recruitment activity.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the final year, students are expected to synthesise and apply the knowledge and skills which they have acquired in previous years. The Corporate Finance module brings together themes from across the course and provides the setting for the annual level 6 Speed Meet, where students are interviewed by, and network with, local employers and business people.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option modules at levels 5 and 6 allow students to adapt and tailor their studies relevant to their own interests and career aspirations, whether this be focusing on acquiring professional body exemptions, exploring finance-related fields, or branching out into other areas of business.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Student Assessment Journey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degree employs a range of assessments including practical assessments, in terms of preparing and communicating business information and solutions, accompanied by the key assessment methods of examination, report writing and presentations, which are developed and extended at each of the three academic levels. Assessments at levels four and five provide formative practice for similar assessments at later stages of the course.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Examinations:</w:t>
      </w:r>
    </w:p>
    <w:p w:rsidRPr="2030048C" w:rsidP="2030048C">
      <w:pPr>
        <w:jc w:val="both"/>
        <w:rPr>
          <w:rFonts w:ascii="Arial" w:eastAsia="Arial" w:hAnsi="Arial" w:cs="Arial"/>
          <w:sz w:val="24"/>
          <w:szCs w:val="24"/>
        </w:rPr>
      </w:pPr>
      <w:r w:rsidRPr="2030048C">
        <w:rPr>
          <w:rFonts w:ascii="Arial" w:eastAsia="Arial" w:hAnsi="Arial" w:cs="Arial"/>
          <w:sz w:val="24"/>
          <w:szCs w:val="24"/>
        </w:rPr>
        <w:t>There is a strong emphasis on examinations in the core modules and those option modules associated with professional body exemptions. These exemptions enable students to be exempt from some professional body examinations and therefore fewer future exams are necessary. In addition to the exemption requirements, unseen timed examinations are considered an appropriate form of assessment for students seeking eventual employment as accountants. This is because:</w:t>
      </w:r>
    </w:p>
    <w:p w:rsidRPr="2030048C" w:rsidP="2030048C">
      <w:pPr>
        <w:ind w:left="540"/>
        <w:jc w:val="both"/>
        <w:rPr>
          <w:rFonts w:ascii="Arial" w:eastAsia="Arial" w:hAnsi="Arial" w:cs="Arial"/>
          <w:sz w:val="24"/>
          <w:szCs w:val="24"/>
        </w:rPr>
      </w:pPr>
      <w:r w:rsidRPr="2030048C">
        <w:rPr>
          <w:rFonts w:ascii="Arial" w:eastAsia="Arial" w:hAnsi="Arial" w:cs="Arial"/>
          <w:sz w:val="24"/>
          <w:szCs w:val="24"/>
        </w:rPr>
        <w:t>- 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rsidRPr="2030048C" w:rsidP="2030048C">
      <w:pPr>
        <w:ind w:left="540"/>
        <w:jc w:val="both"/>
        <w:rPr>
          <w:rFonts w:ascii="Arial" w:eastAsia="Arial" w:hAnsi="Arial" w:cs="Arial"/>
          <w:sz w:val="24"/>
          <w:szCs w:val="24"/>
        </w:rPr>
      </w:pPr>
      <w:r w:rsidRPr="2030048C">
        <w:rPr>
          <w:rFonts w:ascii="Arial" w:eastAsia="Arial" w:hAnsi="Arial" w:cs="Arial"/>
          <w:sz w:val="24"/>
          <w:szCs w:val="24"/>
        </w:rPr>
        <w:t>- accountants are often required to work under time pressure: professional accounting offices will have a time recording system and tasks will require completion within a pre-set timeframe.</w:t>
      </w:r>
    </w:p>
    <w:p w:rsidRPr="2030048C" w:rsidP="2030048C">
      <w:pPr>
        <w:ind w:left="540"/>
        <w:jc w:val="both"/>
        <w:rPr>
          <w:rFonts w:ascii="Arial" w:eastAsia="Arial" w:hAnsi="Arial" w:cs="Arial"/>
          <w:sz w:val="24"/>
          <w:szCs w:val="24"/>
        </w:rPr>
      </w:pPr>
      <w:r w:rsidRPr="2030048C">
        <w:rPr>
          <w:rFonts w:ascii="Arial" w:eastAsia="Arial" w:hAnsi="Arial" w:cs="Arial"/>
          <w:sz w:val="24"/>
          <w:szCs w:val="24"/>
        </w:rPr>
        <w:t>-  working as an accountant requires a high degree of knowledge and an ability to solve problems, usually under time pressure and with little warning, e.g., in a meeting situation where an ability to deliver succinct and appropriate answers will be critical.</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By developing exam techniques in students, this degree equips them with essential competencies which will help them as a trainee, as a fully qualified accountant and beyond. Students will be prepared for exams with general exam guidance provided in BA4801, and module-specific guidance in each module. Students are further prepared by practising past exam questions and exam-style questions within the module classes.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Portfolio Assessment:</w:t>
      </w:r>
    </w:p>
    <w:p w:rsidRPr="2030048C" w:rsidP="2030048C">
      <w:pPr>
        <w:jc w:val="both"/>
        <w:rPr>
          <w:rFonts w:ascii="Arial" w:eastAsia="Arial" w:hAnsi="Arial" w:cs="Arial"/>
          <w:sz w:val="24"/>
          <w:szCs w:val="24"/>
        </w:rPr>
      </w:pPr>
      <w:r w:rsidRPr="2030048C">
        <w:rPr>
          <w:rFonts w:ascii="Arial" w:eastAsia="Arial" w:hAnsi="Arial" w:cs="Arial"/>
          <w:sz w:val="24"/>
          <w:szCs w:val="24"/>
        </w:rPr>
        <w:t>There is also an emphasis on continuous assessment through the core accounting and finance modules, providing constant feedback to students and providing opportunities to use a variety of assessment methods within modules and across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Report and academic writing</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will be writing reports and / or essays at each level, with clearly defined formats and objectives. They are strongly encouraged to make use of the Business and Law Academic Success Centre (BLASC) to get feedback on their work in advance of submission. Students will develop the ability to write accurately and concisely, and gain experience in writing for different business audiences, from executive summaries aimed at busy managers, to full business reports aimed at managers and other stakeholders.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The Navigate Employability programme:</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to the exam and writing skills, other employability skills are also embedded within the course, starting with the Navigate programme which is delivered with BA4203 Management Accounting. These employability skills are assessed across the modules and levels of study. These employability skills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Presentations:</w:t>
      </w:r>
      <w:r w:rsidRPr="2030048C">
        <w:rPr>
          <w:rFonts w:ascii="Arial" w:eastAsia="Arial" w:hAnsi="Arial" w:cs="Arial"/>
          <w:sz w:val="24"/>
          <w:szCs w:val="24"/>
        </w:rPr>
        <w:t xml:space="preserve">  Students will have formative opportunities to give presentations early on, along with assessed presentations in later levels. The feedback provided at each level is designed to feed into future assessments and students are encouraged to video their presentations for objective viewing and reflection. </w:t>
      </w:r>
    </w:p>
    <w:p w:rsidRPr="2030048C" w:rsidP="2030048C">
      <w:pPr>
        <w:jc w:val="both"/>
        <w:rPr>
          <w:rFonts w:ascii="Arial" w:eastAsia="Arial" w:hAnsi="Arial" w:cs="Arial"/>
          <w:sz w:val="24"/>
          <w:szCs w:val="24"/>
        </w:rPr>
      </w:pPr>
      <w:r w:rsidRPr="2030048C">
        <w:rPr>
          <w:rFonts w:ascii="Arial" w:eastAsia="Arial" w:hAnsi="Arial" w:cs="Arial"/>
          <w:i/>
          <w:iCs/>
          <w:sz w:val="24"/>
          <w:szCs w:val="24"/>
        </w:rPr>
        <w:t>IT skills:</w:t>
      </w:r>
      <w:r w:rsidRPr="2030048C">
        <w:rPr>
          <w:rFonts w:ascii="Arial" w:eastAsia="Arial" w:hAnsi="Arial" w:cs="Arial"/>
          <w:sz w:val="24"/>
          <w:szCs w:val="24"/>
        </w:rPr>
        <w:t xml:space="preserve"> These are developed in the first year Business Information Analysis, and the use of spreadsheets is actively encouraged when preparing accounting solutions in all years and supported by the additional Microsoft Excel certification.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Communication Skills:</w:t>
      </w:r>
      <w:r w:rsidRPr="2030048C">
        <w:rPr>
          <w:rFonts w:ascii="Arial" w:eastAsia="Arial" w:hAnsi="Arial" w:cs="Arial"/>
          <w:sz w:val="24"/>
          <w:szCs w:val="24"/>
        </w:rPr>
        <w:t xml:space="preserve"> The use of essays, case studies and presentations, both in class and as part of formal assessment, aids students to develop professional communication skills and the ability to provide reasoned arguments and critical evaluation of both their own work and the work of others.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Team Working:</w:t>
      </w:r>
      <w:r w:rsidRPr="2030048C">
        <w:rPr>
          <w:rFonts w:ascii="Arial" w:eastAsia="Arial" w:hAnsi="Arial" w:cs="Arial"/>
          <w:sz w:val="24"/>
          <w:szCs w:val="24"/>
        </w:rPr>
        <w:t xml:space="preserve"> Teamwork in particular helps develop various team skills, including leadership, working well with others, the ability to adapt and compromise, and the skill of listening to others and respecting alternative viewpoints, as well as presenting, defending, debating, and challenging ideas. These are all useful life skills that will be appreciated both in the workplace and beyond.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Practical work skills:</w:t>
      </w:r>
      <w:r w:rsidRPr="2030048C">
        <w:rPr>
          <w:rFonts w:ascii="Arial" w:eastAsia="Arial" w:hAnsi="Arial" w:cs="Arial"/>
          <w:sz w:val="24"/>
          <w:szCs w:val="24"/>
        </w:rPr>
        <w:t xml:space="preserve"> Students also develop practical techniques in recording transactions and preparing financial statements for managers, along with financial statements following prescribed layouts and regulatory formats for external users.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specific employability initiatives such as CV writing, assessment centre experience and opportunities to develop resilience and reflection skills are built into the core academic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Formative Feedback:</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in subsequent modules and learning. A range of methods will be selected to engage students actively, including problem-based and enquiry-based learning, industry research and peer-assisted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Independent Learning:</w:t>
      </w:r>
    </w:p>
    <w:p w:rsidRPr="2030048C" w:rsidP="2030048C">
      <w:pPr>
        <w:jc w:val="both"/>
        <w:rPr>
          <w:rFonts w:ascii="Arial" w:eastAsia="Arial" w:hAnsi="Arial" w:cs="Arial"/>
          <w:sz w:val="24"/>
          <w:szCs w:val="24"/>
        </w:rPr>
      </w:pPr>
      <w:r w:rsidRPr="2030048C">
        <w:rPr>
          <w:rFonts w:ascii="Arial" w:eastAsia="Arial" w:hAnsi="Arial" w:cs="Arial"/>
          <w:sz w:val="24"/>
          <w:szCs w:val="24"/>
        </w:rPr>
        <w:t>Class contact time makes up only part of the activities for any module. Students are also required to undertake independent learning to complement the in-class content. This can be in the form of reviewing and preparing for lectures, practice using the software, completing assessments, and taking practice quizzes to monitor a student’s own progress through the syllabus. Guidance will be provided on which activities will support learning for each module on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Inclusive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The Accounting and Finance course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are set up in a carousel arrangement, so students are naturally positioned to discuss concepts in an inclusive manner</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Professional exemptions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2"/>
        <w:gridCol w:w="312"/>
        <w:gridCol w:w="801"/>
        <w:gridCol w:w="801"/>
        <w:gridCol w:w="801"/>
        <w:gridCol w:w="800"/>
        <w:gridCol w:w="1"/>
        <w:gridCol w:w="801"/>
        <w:gridCol w:w="801"/>
        <w:gridCol w:w="799"/>
        <w:gridCol w:w="2"/>
        <w:gridCol w:w="801"/>
        <w:gridCol w:w="79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1ebb50b0838-kingston-university-fb6443688f7.pdf" TargetMode="External"/><Relationship Id="rId6" Type="http://schemas.openxmlformats.org/officeDocument/2006/relationships/customXml" Target="../customXml/item3.xml"/><Relationship Id="rId10" Type="http://schemas.openxmlformats.org/officeDocument/2006/relationships/hyperlink" Target="https://d68b3152cf5d08c2f050-97c828cc9502c69ac5af7576c62d48d6.ssl.cf3.rackcdn.com/documents/user-upload/kingston-university-63963086086-kingston-university-gr5-changes.pdf"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F208158-982F-48BB-8985-BBC1D43EA7B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