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Accounting and Finance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19/03/2025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Accounting, Finance and Informatics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Accounting and Finance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Accounting &amp; Finance.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Accounting &amp; Finance.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Accounting &amp; Finance.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UFAFN1AFN20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N420 (three years)</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Accounting and Finance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Accounting &amp; Finance.</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Accounting &amp; Finance.</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Accounting &amp; Finance.</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USAFN1AFN45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AACSB</w:t>
            </w:r>
          </w:p>
          <w:p w:rsidRPr="2030048C" w:rsidP="2030048C">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This programme offers partial exemptions to the following bodies’ professional qualifications:</w:t>
            </w:r>
          </w:p>
          <w:p w:rsidRPr="2030048C" w:rsidP="2030048C">
            <w:pPr>
              <w:pStyle w:val="p"/>
              <w:spacing w:before="0" w:after="0"/>
              <w:ind w:left="33" w:right="0" w:hanging="33"/>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The Association of Chartered Certified Accountants (ACCA)</w:t>
            </w:r>
          </w:p>
          <w:p w:rsidRPr="2030048C" w:rsidP="2030048C">
            <w:pPr>
              <w:pStyle w:val="p"/>
              <w:spacing w:before="0" w:after="0"/>
              <w:ind w:left="33" w:right="0" w:hanging="33"/>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Chartered Institute of Management Accountants (CIMA)</w:t>
            </w:r>
          </w:p>
          <w:p w:rsidRPr="2030048C" w:rsidP="2030048C">
            <w:pPr>
              <w:pStyle w:val="p"/>
              <w:spacing w:before="0" w:after="0"/>
              <w:ind w:left="33" w:right="0" w:hanging="33"/>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The Institute of Chartered Accountants in England and Wales (ICAEW)</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overall aim of this course is to develop independent thinkers and learners who are professional, ethical, and skilled in accounting and finance methods and techniques – ready to join employment as fully functioning members of their organisation.</w:t>
      </w:r>
    </w:p>
    <w:p w:rsidRPr="2030048C" w:rsidP="2030048C">
      <w:pPr>
        <w:pStyle w:val="MediumGrid1-Accent21"/>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As part of this overall goal, the main features of this course are: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all students with an in-depth knowledge of the three main areas within these fields: financial accounting, management accounting and finance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technical skills necessary to undertake accounting and finance tasks and roles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intellectual skills necessary to evaluate and critique both theoretical and practical aspects of accounting and finance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instil an appreciation of the importance of ethical and professional behaviour in business as a whole and within accounting and finance in particular</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prepare students for graduate employment, research, further study, and lifelong learning by developing their intellectual, practical, and key (transferable) skills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 xml:space="preserve">(a) economic, social, organisational, and regulatory environments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(b) business information systems</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(c) quantitative methods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select relevant data and techniques for financial and business decision making.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accounting principles, standards, and techniques to produce financial statements and financial information for use within or external to an organisation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Critically discuss and evaluate theory and practice of: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a)</w:t>
              <w:tab/>
              <w:t xml:space="preserve">financial accounting and reporting,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b)</w:t>
              <w:tab/>
              <w:t>management accounting and finance</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data and financial information to solve problems and / or make appropriate decisions and recommendations.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information literacy, particularly in the use of specialist databases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awareness and understanding of current topics and issues of interest within accounting and finance, including ethical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be independent, autonomous learners.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 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tgtFrame="_blank"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Accounting and Finance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Accounting and Finance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Business Information Analysis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Financial Accounting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BA4801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Management Accounting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BA4203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Accountant's Business Environment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a minimum of 90 credits at level 4 provided both BA4801 and BA4203 have been passed.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are able to progress to level 5 are also able to transfer to Level 5 BSc (Hons) Business and Accounting.</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Accounting and Finance.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Accounting and Finance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Advanced Management Accounting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BA5507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BA4203</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Finance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Financial Reporting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BA4801</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Auditing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BA5805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Data Analytics for Business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BB5113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Financial Investments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BA5809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Law for Accountants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BA5196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Money, Banking and Financial Markets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BA5508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At level 5, students can choose 30 credits of option modules.</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120 level 4 credits and a minimum of 90 credits at level 5, provided BA5802 and BA5804 have been passed. The outstanding 30 credits from level 5 can be trailed into level 6 and must be passed before consideration for an award.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240 credits, including the level 4 and level 5 core modules, are eligible for the award of Diploma of Higher Education in Accounting and Finance.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Accounting and Finance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Corporate Finance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BA6802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BA5804</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Theory and Practice of Financial Reporting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BA6801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BA4801 &amp; BA5802</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Auditing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BA6320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r w:rsidRPr="2030048C" w:rsidR="073AEBF5">
              <w:rPr>
                <w:rFonts w:ascii="Arial" w:eastAsia="Arial" w:hAnsi="Arial" w:cs="Arial"/>
                <w:sz w:val="24"/>
                <w:szCs w:val="24"/>
              </w:rPr>
              <w:t>BA4801</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Data Analytics for Business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BB6308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Financial Investments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BA6807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Law for Accountants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BA6808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Money, Banking and Financial Markets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BA6508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Theory and Practice of Taxation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BA6804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At level 6, students can choose 60 credits of option modules.</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have successfully completed 300 credits, including all the core modules, are eligible for the award of BSc Accounting and Finance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Accounting and Finance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color w:val="000000"/>
          <w:sz w:val="24"/>
          <w:szCs w:val="24"/>
        </w:rPr>
        <w:t xml:space="preserve">The underlying teaching and learning philosophy is </w:t>
      </w:r>
      <w:r w:rsidRPr="2030048C">
        <w:rPr>
          <w:rFonts w:ascii="Arial" w:eastAsia="Arial" w:hAnsi="Arial" w:cs="Arial"/>
          <w:i/>
          <w:iCs/>
          <w:color w:val="000000"/>
          <w:sz w:val="24"/>
          <w:szCs w:val="24"/>
        </w:rPr>
        <w:t>learning by doing</w:t>
      </w:r>
      <w:r w:rsidRPr="2030048C">
        <w:rPr>
          <w:rFonts w:ascii="Arial" w:eastAsia="Arial" w:hAnsi="Arial" w:cs="Arial"/>
          <w:color w:val="000000"/>
          <w:sz w:val="24"/>
          <w:szCs w:val="24"/>
        </w:rPr>
        <w:t>. Accounting and finance are very practical subjects and require a high level of technical expertise</w:t>
      </w:r>
      <w:r w:rsidRPr="2030048C">
        <w:rPr>
          <w:rFonts w:ascii="Arial" w:eastAsia="Arial" w:hAnsi="Arial" w:cs="Arial"/>
          <w:color w:val="000000"/>
          <w:sz w:val="24"/>
          <w:szCs w:val="24"/>
        </w:rPr>
        <w:t>. O</w:t>
      </w:r>
      <w:r w:rsidRPr="2030048C">
        <w:rPr>
          <w:rFonts w:ascii="Arial" w:eastAsia="Arial" w:hAnsi="Arial" w:cs="Arial"/>
          <w:sz w:val="24"/>
          <w:szCs w:val="24"/>
        </w:rPr>
        <w:t>ur approach to teaching and learning supports this by encouraging students to be active participants in the classroom, underpinned by authentic assessments where students have the opportunity to apply their skills and knowledge gained in contexts that reflect working practices.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Current practice is at the heart of the course supported by theory and theoretical debate. A team of practitioners and research-active staff exposes students to current practice, regulations and theories, and industry guest speakers provide further opportunities for students to relate learning to real-life situations.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course also makes extensive use of technology to enhance learning. There are pre-class presentation videos; computer-based student forums where students can discuss and post queries to their cohort to aid peer learning opportunities; computer-based quizzes to provide both summative and formative feedback; an introduction to accounting software for recording transactions and producing financial statements; and students are encouraged at all levels of study to use spreadsheets.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By the end of the degree, students will have substantial knowledge of accounting and finance theory and practice. At level 4, students will learn about the different forms to business, various leadership and people management theories, as well as the economic environment in which businesses operate. They are introduced to both financial and management accounting practices and extensive use is made of interactive sessions to enable students to have sufficient time for practice and application of accounting techniques. The active learning environment helps students develop subject-specific skills along with team-working, IT skills and self-reflection.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Skills and knowledge are extended and advanced in level 5 which focuses on the main areas of financial reporting, management accounting and finance. Team working and presentation skills are developed and assessed, and students undergo a mock assessment centre, giving them vital experience of this recruitment activity.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In the final year, students are expected to synthesise and apply the knowledge and skills which they have acquired in previous years. The Corporate Finance module brings together themes from across the course and provides the setting for the annual level 6 Speed Meet, where students are interviewed by, and network with, local employers and business people.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use of option modules at levels 5 and 6 allow students to adapt and tailor their studies relevant to their own interests and career aspirations, whether this be focusing on acquiring professional body exemptions, exploring finance-related fields, or branching out into other areas of business.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Student Assessment Journey</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degree employs a range of assessments including practical assessments, in terms of preparing and communicating business information and solutions, accompanied by the key assessment methods of examination, report writing and presentations, which are developed and extended at each of the three academic levels. Assessments at levels four and five provide formative practice for similar assessments at later stages of the course.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Examinations:</w:t>
      </w:r>
    </w:p>
    <w:p w:rsidRPr="2030048C" w:rsidP="2030048C">
      <w:pPr>
        <w:jc w:val="both"/>
        <w:rPr>
          <w:rFonts w:ascii="Arial" w:eastAsia="Arial" w:hAnsi="Arial" w:cs="Arial"/>
          <w:sz w:val="24"/>
          <w:szCs w:val="24"/>
        </w:rPr>
      </w:pPr>
      <w:r w:rsidRPr="2030048C">
        <w:rPr>
          <w:rFonts w:ascii="Arial" w:eastAsia="Arial" w:hAnsi="Arial" w:cs="Arial"/>
          <w:sz w:val="24"/>
          <w:szCs w:val="24"/>
        </w:rPr>
        <w:t>There is a strong emphasis on examinations in the core modules and those option modules associated with professional body exemptions. These exemptions enable students to be exempt from some professional body examinations and therefore fewer future exams are necessary. In addition to the exemption requirements, unseen timed examinations are considered an appropriate form of assessment for students seeking eventual employment as accountants. This is because:</w:t>
      </w:r>
    </w:p>
    <w:p w:rsidRPr="2030048C" w:rsidP="2030048C">
      <w:pPr>
        <w:ind w:left="540"/>
        <w:jc w:val="both"/>
        <w:rPr>
          <w:rFonts w:ascii="Arial" w:eastAsia="Arial" w:hAnsi="Arial" w:cs="Arial"/>
          <w:sz w:val="24"/>
          <w:szCs w:val="24"/>
        </w:rPr>
      </w:pPr>
      <w:r w:rsidRPr="2030048C">
        <w:rPr>
          <w:rFonts w:ascii="Arial" w:eastAsia="Arial" w:hAnsi="Arial" w:cs="Arial"/>
          <w:sz w:val="24"/>
          <w:szCs w:val="24"/>
        </w:rPr>
        <w:t>- as a student accountant on a training contract with an employing organisation, the route to membership for the professional bodies will be examination-based, supported by an appropriate period (usually three years) of work experience. This is the case for all accounting bodies: CIMA, CIPFA, ACCA and ICAEW.</w:t>
      </w:r>
    </w:p>
    <w:p w:rsidRPr="2030048C" w:rsidP="2030048C">
      <w:pPr>
        <w:ind w:left="540"/>
        <w:jc w:val="both"/>
        <w:rPr>
          <w:rFonts w:ascii="Arial" w:eastAsia="Arial" w:hAnsi="Arial" w:cs="Arial"/>
          <w:sz w:val="24"/>
          <w:szCs w:val="24"/>
        </w:rPr>
      </w:pPr>
      <w:r w:rsidRPr="2030048C">
        <w:rPr>
          <w:rFonts w:ascii="Arial" w:eastAsia="Arial" w:hAnsi="Arial" w:cs="Arial"/>
          <w:sz w:val="24"/>
          <w:szCs w:val="24"/>
        </w:rPr>
        <w:t>- accountants are often required to work under time pressure: professional accounting offices will have a time recording system and tasks will require completion within a pre-set timeframe.</w:t>
      </w:r>
    </w:p>
    <w:p w:rsidRPr="2030048C" w:rsidP="2030048C">
      <w:pPr>
        <w:ind w:left="540"/>
        <w:jc w:val="both"/>
        <w:rPr>
          <w:rFonts w:ascii="Arial" w:eastAsia="Arial" w:hAnsi="Arial" w:cs="Arial"/>
          <w:sz w:val="24"/>
          <w:szCs w:val="24"/>
        </w:rPr>
      </w:pPr>
      <w:r w:rsidRPr="2030048C">
        <w:rPr>
          <w:rFonts w:ascii="Arial" w:eastAsia="Arial" w:hAnsi="Arial" w:cs="Arial"/>
          <w:sz w:val="24"/>
          <w:szCs w:val="24"/>
        </w:rPr>
        <w:t>-  working as an accountant requires a high degree of knowledge and an ability to solve problems, usually under time pressure and with little warning, e.g., in a meeting situation where an ability to deliver succinct and appropriate answers will be critical.</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By developing exam techniques in students, this degree equips them with essential competencies which will help them as a trainee, as a fully qualified accountant and beyond. Students will be prepared for exams with general exam guidance provided in BA4801, and module-specific guidance in each module. Students are further prepared by practising past exam questions and exam-style questions within the module classes.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Portfolio Assessment:</w:t>
      </w:r>
    </w:p>
    <w:p w:rsidRPr="2030048C" w:rsidP="2030048C">
      <w:pPr>
        <w:jc w:val="both"/>
        <w:rPr>
          <w:rFonts w:ascii="Arial" w:eastAsia="Arial" w:hAnsi="Arial" w:cs="Arial"/>
          <w:sz w:val="24"/>
          <w:szCs w:val="24"/>
        </w:rPr>
      </w:pPr>
      <w:r w:rsidRPr="2030048C">
        <w:rPr>
          <w:rFonts w:ascii="Arial" w:eastAsia="Arial" w:hAnsi="Arial" w:cs="Arial"/>
          <w:sz w:val="24"/>
          <w:szCs w:val="24"/>
        </w:rPr>
        <w:t>There is also an emphasis on continuous assessment through the core accounting and finance modules, providing constant feedback to students and providing opportunities to use a variety of assessment methods within modules and across the course.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Report and academic writing</w:t>
      </w:r>
      <w:r w:rsidRPr="2030048C">
        <w:rPr>
          <w:rFonts w:ascii="Arial" w:eastAsia="Arial" w:hAnsi="Arial" w:cs="Arial"/>
          <w:sz w:val="24"/>
          <w:szCs w:val="24"/>
        </w:rPr>
        <w:t xml:space="preserve">: </w:t>
      </w:r>
    </w:p>
    <w:p w:rsidRPr="2030048C" w:rsidP="2030048C">
      <w:pPr>
        <w:jc w:val="both"/>
        <w:rPr>
          <w:rFonts w:ascii="Arial" w:eastAsia="Arial" w:hAnsi="Arial" w:cs="Arial"/>
          <w:sz w:val="24"/>
          <w:szCs w:val="24"/>
        </w:rPr>
      </w:pPr>
      <w:r w:rsidRPr="2030048C">
        <w:rPr>
          <w:rFonts w:ascii="Arial" w:eastAsia="Arial" w:hAnsi="Arial" w:cs="Arial"/>
          <w:sz w:val="24"/>
          <w:szCs w:val="24"/>
        </w:rPr>
        <w:t>Students will be writing reports and / or essays at each level, with clearly defined formats and objectives. They are strongly encouraged to make use of the Business and Law Academic Success Centre (BLASC) to get feedback on their work in advance of submission. Students will develop the ability to write accurately and concisely, and gain experience in writing for different business audiences, from executive summaries aimed at busy managers, to full business reports aimed at managers and other stakeholders.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The Navigate Employability programme:</w:t>
      </w:r>
    </w:p>
    <w:p w:rsidRPr="2030048C" w:rsidP="2030048C">
      <w:pPr>
        <w:jc w:val="both"/>
        <w:rPr>
          <w:rFonts w:ascii="Arial" w:eastAsia="Arial" w:hAnsi="Arial" w:cs="Arial"/>
          <w:sz w:val="24"/>
          <w:szCs w:val="24"/>
        </w:rPr>
      </w:pPr>
      <w:r w:rsidRPr="2030048C">
        <w:rPr>
          <w:rFonts w:ascii="Arial" w:eastAsia="Arial" w:hAnsi="Arial" w:cs="Arial"/>
          <w:sz w:val="24"/>
          <w:szCs w:val="24"/>
        </w:rPr>
        <w:t>In addition to the exam and writing skills, other employability skills are also embedded within the course, starting with the Navigate programme which is delivered with BA4203 Management Accounting. These employability skills are assessed across the modules and levels of study. These employability skills include: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Presentations:</w:t>
      </w:r>
      <w:r w:rsidRPr="2030048C">
        <w:rPr>
          <w:rFonts w:ascii="Arial" w:eastAsia="Arial" w:hAnsi="Arial" w:cs="Arial"/>
          <w:sz w:val="24"/>
          <w:szCs w:val="24"/>
        </w:rPr>
        <w:t xml:space="preserve">  Students will have formative opportunities to give presentations early on, along with assessed presentations in later levels. The feedback provided at each level is designed to feed into future assessments and students are encouraged to video their presentations for objective viewing and reflection. </w:t>
      </w:r>
    </w:p>
    <w:p w:rsidRPr="2030048C" w:rsidP="2030048C">
      <w:pPr>
        <w:jc w:val="both"/>
        <w:rPr>
          <w:rFonts w:ascii="Arial" w:eastAsia="Arial" w:hAnsi="Arial" w:cs="Arial"/>
          <w:sz w:val="24"/>
          <w:szCs w:val="24"/>
        </w:rPr>
      </w:pPr>
      <w:r w:rsidRPr="2030048C">
        <w:rPr>
          <w:rFonts w:ascii="Arial" w:eastAsia="Arial" w:hAnsi="Arial" w:cs="Arial"/>
          <w:i/>
          <w:iCs/>
          <w:sz w:val="24"/>
          <w:szCs w:val="24"/>
        </w:rPr>
        <w:t>IT skills:</w:t>
      </w:r>
      <w:r w:rsidRPr="2030048C">
        <w:rPr>
          <w:rFonts w:ascii="Arial" w:eastAsia="Arial" w:hAnsi="Arial" w:cs="Arial"/>
          <w:sz w:val="24"/>
          <w:szCs w:val="24"/>
        </w:rPr>
        <w:t xml:space="preserve"> These are developed in the first year Business Information Analysis, and the use of spreadsheets is actively encouraged when preparing accounting solutions in all years and supported by the additional Microsoft Excel certification.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Communication Skills:</w:t>
      </w:r>
      <w:r w:rsidRPr="2030048C">
        <w:rPr>
          <w:rFonts w:ascii="Arial" w:eastAsia="Arial" w:hAnsi="Arial" w:cs="Arial"/>
          <w:sz w:val="24"/>
          <w:szCs w:val="24"/>
        </w:rPr>
        <w:t xml:space="preserve"> The use of essays, case studies and presentations, both in class and as part of formal assessment, aids students to develop professional communication skills and the ability to provide reasoned arguments and critical evaluation of both their own work and the work of others.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Team Working:</w:t>
      </w:r>
      <w:r w:rsidRPr="2030048C">
        <w:rPr>
          <w:rFonts w:ascii="Arial" w:eastAsia="Arial" w:hAnsi="Arial" w:cs="Arial"/>
          <w:sz w:val="24"/>
          <w:szCs w:val="24"/>
        </w:rPr>
        <w:t xml:space="preserve"> Teamwork in particular helps develop various team skills, including leadership, working well with others, the ability to adapt and compromise, and the skill of listening to others and respecting alternative viewpoints, as well as presenting, defending, debating, and challenging ideas. These are all useful life skills that will be appreciated both in the workplace and beyond.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Practical work skills:</w:t>
      </w:r>
      <w:r w:rsidRPr="2030048C">
        <w:rPr>
          <w:rFonts w:ascii="Arial" w:eastAsia="Arial" w:hAnsi="Arial" w:cs="Arial"/>
          <w:sz w:val="24"/>
          <w:szCs w:val="24"/>
        </w:rPr>
        <w:t xml:space="preserve"> Students also develop practical techniques in recording transactions and preparing financial statements for managers, along with financial statements following prescribed layouts and regulatory formats for external users.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In addition, specific employability initiatives such as CV writing, assessment centre experience and opportunities to develop resilience and reflection skills are built into the core academic curriculum.</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Formative Feedback:</w:t>
      </w:r>
    </w:p>
    <w:p w:rsidRPr="2030048C" w:rsidP="2030048C">
      <w:pPr>
        <w:jc w:val="both"/>
        <w:rPr>
          <w:rFonts w:ascii="Arial" w:eastAsia="Arial" w:hAnsi="Arial" w:cs="Arial"/>
          <w:sz w:val="24"/>
          <w:szCs w:val="24"/>
        </w:rPr>
      </w:pPr>
      <w:r w:rsidRPr="2030048C">
        <w:rPr>
          <w:rFonts w:ascii="Arial" w:eastAsia="Arial" w:hAnsi="Arial" w:cs="Arial"/>
          <w:sz w:val="24"/>
          <w:szCs w:val="24"/>
        </w:rPr>
        <w:t>The teaching and assessment strategies ensure that students have explicit formative opportunities for practice in which to gain feedback and feedforward, which can help them reach their full potential in summative assessment, both in the modules in which the feedback was obtained, and in subsequent modules and learning. A range of methods will be selected to engage students actively, including problem-based and enquiry-based learning, industry research and peer-assisted learning.</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Independent Learning:</w:t>
      </w:r>
    </w:p>
    <w:p w:rsidRPr="2030048C" w:rsidP="2030048C">
      <w:pPr>
        <w:jc w:val="both"/>
        <w:rPr>
          <w:rFonts w:ascii="Arial" w:eastAsia="Arial" w:hAnsi="Arial" w:cs="Arial"/>
          <w:sz w:val="24"/>
          <w:szCs w:val="24"/>
        </w:rPr>
      </w:pPr>
      <w:r w:rsidRPr="2030048C">
        <w:rPr>
          <w:rFonts w:ascii="Arial" w:eastAsia="Arial" w:hAnsi="Arial" w:cs="Arial"/>
          <w:sz w:val="24"/>
          <w:szCs w:val="24"/>
        </w:rPr>
        <w:t>Class contact time makes up only part of the activities for any module. Students are also required to undertake independent learning to complement the in-class content. This can be in the form of reviewing and preparing for lectures, practice using the software, completing assessments, and taking practice quizzes to monitor a student’s own progress through the syllabus. Guidance will be provided on which activities will support learning for each module on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i/>
          <w:iCs/>
          <w:sz w:val="24"/>
          <w:szCs w:val="24"/>
        </w:rPr>
        <w:t>Inclusive Curriculum:</w:t>
      </w:r>
    </w:p>
    <w:p w:rsidRPr="2030048C" w:rsidP="2030048C">
      <w:pPr>
        <w:jc w:val="both"/>
        <w:rPr>
          <w:rFonts w:ascii="Arial" w:eastAsia="Arial" w:hAnsi="Arial" w:cs="Arial"/>
          <w:sz w:val="24"/>
          <w:szCs w:val="24"/>
        </w:rPr>
      </w:pPr>
      <w:r w:rsidRPr="2030048C">
        <w:rPr>
          <w:rFonts w:ascii="Arial" w:eastAsia="Arial" w:hAnsi="Arial" w:cs="Arial"/>
          <w:sz w:val="24"/>
          <w:szCs w:val="24"/>
        </w:rPr>
        <w:t>The Accounting and Finance course has integrated the principles of the University’s Inclusive Curriculum Framework, to ensure inclusivity has been embedded throughout the academic cycle. Examples of these approaches include: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Assessments and delivery patterns that support students who commute</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Students are co-creators of the assessment data – for example creating and answering surveys that are used within analytics assessments</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Case studies and role models used in assessments reflect the diverse student body</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Teaching spaces are set up in a carousel arrangement, so students are naturally positioned to discuss concepts in an inclusive manner</w:t>
      </w:r>
    </w:p>
    <w:p w:rsidRPr="2030048C" w:rsidP="2030048C">
      <w:pPr>
        <w:jc w:val="both"/>
        <w:rPr>
          <w:rFonts w:ascii="Arial" w:eastAsia="Arial" w:hAnsi="Arial" w:cs="Arial"/>
          <w:sz w:val="24"/>
          <w:szCs w:val="24"/>
        </w:rPr>
      </w:pPr>
      <w:r w:rsidRPr="2030048C">
        <w:rPr>
          <w:rFonts w:ascii="Arial" w:eastAsia="Arial" w:hAnsi="Arial" w:cs="Arial"/>
          <w:sz w:val="24"/>
          <w:szCs w:val="24"/>
        </w:rPr>
        <w:t>Students are provided with the dates of all assessments at the start of each level of their studies so that they can manage their time. They are encouraged to discuss any concerns with their module leader and personal tutor, who will support them in reflecting on their feedback to improve on further assessments.</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sz w:val="24"/>
          <w:szCs w:val="24"/>
        </w:rPr>
        <w:t xml:space="preserve">Support for students and their learning is provided in a variety of forms: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A personal tutor. Each student will have their own personal tutor who will normally stay with them throughout their course. The tutors will instigate regular meetings throughout the student’s time at university, providing support, guidance and encouragement to their mentees throughout the course. Tutors not only support academic performance but also are there to listen to non-academic concerns such adapting to a new environment/country, family concerns, illness, or homesickness. They are also there to help celebrate success. Personal tutors are a great resource for international students, giving them a named academic who will be able to direct them to relevant services and procedures.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 xml:space="preserve">A course director. The course director helps students to understand the course structure, the academic regulations and what is required at the various levels of study. </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A Student Administrative Support team. The student support team helps with administrative aspects such as timetables issues and providing letters.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An Academic Affairs Coordinator (AAC). The AAC can provide advice and guidance on academic matters such as mitigating circumstances and extensions.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 xml:space="preserve">The </w:t>
      </w:r>
      <w:hyperlink r:id="rId12" w:history="1">
        <w:r w:rsidRPr="2030048C">
          <w:rPr>
            <w:rFonts w:ascii="Arial" w:eastAsia="Arial" w:hAnsi="Arial" w:cs="Arial"/>
            <w:sz w:val="24"/>
            <w:szCs w:val="24"/>
          </w:rPr>
          <w:t>Careers and Employability team</w:t>
        </w:r>
      </w:hyperlink>
      <w:r w:rsidRPr="2030048C">
        <w:rPr>
          <w:rFonts w:ascii="Arial" w:eastAsia="Arial" w:hAnsi="Arial" w:cs="Arial"/>
          <w:sz w:val="24"/>
          <w:szCs w:val="24"/>
        </w:rPr>
        <w:t xml:space="preserve"> organises careers events and provides valuable guidance which develop students’ professional skills, supporting them with internships and / or placements and graduate roles.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 xml:space="preserve">Peer-Assisted Learning (PAL) student mentors. The PAL mentors are students who have previously studied the modules and provide support and mentoring to newer students. </w:t>
      </w:r>
    </w:p>
    <w:p w:rsidRPr="2030048C" w:rsidP="2030048C">
      <w:pPr>
        <w:numPr>
          <w:ilvl w:val="0"/>
          <w:numId w:val="16"/>
        </w:numPr>
        <w:ind w:left="720" w:hanging="360"/>
        <w:jc w:val="both"/>
        <w:rPr>
          <w:rFonts w:ascii="Arial" w:eastAsia="Arial" w:hAnsi="Arial" w:cs="Arial"/>
          <w:sz w:val="24"/>
          <w:szCs w:val="24"/>
        </w:rPr>
      </w:pPr>
      <w:hyperlink r:id="rId13" w:history="1">
        <w:r w:rsidRPr="2030048C">
          <w:rPr>
            <w:rFonts w:ascii="Arial" w:eastAsia="Arial" w:hAnsi="Arial" w:cs="Arial"/>
            <w:sz w:val="24"/>
            <w:szCs w:val="24"/>
          </w:rPr>
          <w:t>Business and Law Academic Skills Centre (BLASC)</w:t>
        </w:r>
      </w:hyperlink>
      <w:r w:rsidRPr="2030048C">
        <w:rPr>
          <w:rFonts w:ascii="Arial" w:eastAsia="Arial" w:hAnsi="Arial" w:cs="Arial"/>
          <w:sz w:val="24"/>
          <w:szCs w:val="24"/>
        </w:rPr>
        <w:t>. This is a drop-in service for advice on academic skills. Both UK and international students find this service particularly useful for providing feedback on appropriate referencing.</w:t>
      </w:r>
    </w:p>
    <w:p w:rsidRPr="2030048C" w:rsidP="2030048C">
      <w:pPr>
        <w:numPr>
          <w:ilvl w:val="0"/>
          <w:numId w:val="16"/>
        </w:numPr>
        <w:ind w:left="720" w:hanging="360"/>
        <w:jc w:val="both"/>
        <w:rPr>
          <w:rFonts w:ascii="Arial" w:eastAsia="Arial" w:hAnsi="Arial" w:cs="Arial"/>
          <w:sz w:val="24"/>
          <w:szCs w:val="24"/>
        </w:rPr>
      </w:pPr>
      <w:hyperlink r:id="rId14" w:history="1">
        <w:r w:rsidRPr="2030048C">
          <w:rPr>
            <w:rFonts w:ascii="Arial" w:eastAsia="Arial" w:hAnsi="Arial" w:cs="Arial"/>
            <w:sz w:val="24"/>
            <w:szCs w:val="24"/>
          </w:rPr>
          <w:t>Technical support with IT</w:t>
        </w:r>
      </w:hyperlink>
      <w:r w:rsidRPr="2030048C">
        <w:rPr>
          <w:rFonts w:ascii="Arial" w:eastAsia="Arial" w:hAnsi="Arial" w:cs="Arial"/>
          <w:sz w:val="24"/>
          <w:szCs w:val="24"/>
        </w:rPr>
        <w:t xml:space="preserve"> and the use of software.</w:t>
      </w:r>
    </w:p>
    <w:p w:rsidRPr="2030048C" w:rsidP="2030048C">
      <w:pPr>
        <w:numPr>
          <w:ilvl w:val="0"/>
          <w:numId w:val="16"/>
        </w:numPr>
        <w:ind w:left="720" w:hanging="360"/>
        <w:jc w:val="both"/>
        <w:rPr>
          <w:rFonts w:ascii="Arial" w:eastAsia="Arial" w:hAnsi="Arial" w:cs="Arial"/>
          <w:sz w:val="24"/>
          <w:szCs w:val="24"/>
        </w:rPr>
      </w:pPr>
      <w:hyperlink r:id="rId15" w:history="1">
        <w:r w:rsidRPr="2030048C">
          <w:rPr>
            <w:rFonts w:ascii="Arial" w:eastAsia="Arial" w:hAnsi="Arial" w:cs="Arial"/>
            <w:sz w:val="24"/>
            <w:szCs w:val="24"/>
          </w:rPr>
          <w:t>LinkedIn Learning</w:t>
        </w:r>
      </w:hyperlink>
      <w:r w:rsidRPr="2030048C">
        <w:rPr>
          <w:rFonts w:ascii="Arial" w:eastAsia="Arial" w:hAnsi="Arial" w:cs="Arial"/>
          <w:sz w:val="24"/>
          <w:szCs w:val="24"/>
        </w:rPr>
        <w:t xml:space="preserve"> videos that provide a broad range of business and IT training resources.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An induction week at the start of the course to introduce students to the university, university life, what is expected of them, the degree course and each other.</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Ongoing re-induction sessions at appropriate points in the course.</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 xml:space="preserve">Access to </w:t>
      </w:r>
      <w:hyperlink r:id="rId16" w:history="1">
        <w:r w:rsidRPr="2030048C">
          <w:rPr>
            <w:rFonts w:ascii="Arial" w:eastAsia="Arial" w:hAnsi="Arial" w:cs="Arial"/>
            <w:sz w:val="24"/>
            <w:szCs w:val="24"/>
          </w:rPr>
          <w:t>English language support</w:t>
        </w:r>
      </w:hyperlink>
      <w:r w:rsidRPr="2030048C">
        <w:rPr>
          <w:rFonts w:ascii="Arial" w:eastAsia="Arial" w:hAnsi="Arial" w:cs="Arial"/>
          <w:sz w:val="24"/>
          <w:szCs w:val="24"/>
        </w:rPr>
        <w:t xml:space="preserve">, which is particularly useful for international students who do not have English as their first language, and to foreign language tuition via the </w:t>
      </w:r>
      <w:hyperlink r:id="rId17" w:history="1">
        <w:r w:rsidRPr="2030048C">
          <w:rPr>
            <w:rFonts w:ascii="Arial" w:eastAsia="Arial" w:hAnsi="Arial" w:cs="Arial"/>
            <w:sz w:val="24"/>
            <w:szCs w:val="24"/>
          </w:rPr>
          <w:t>Kingston Language Scheme</w:t>
        </w:r>
      </w:hyperlink>
      <w:r w:rsidRPr="2030048C">
        <w:rPr>
          <w:rFonts w:ascii="Arial" w:eastAsia="Arial" w:hAnsi="Arial" w:cs="Arial"/>
          <w:sz w:val="24"/>
          <w:szCs w:val="24"/>
        </w:rPr>
        <w:t>.</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Student Voice Committee and course representatives to enable students to feed back to staff about the course.</w:t>
      </w:r>
    </w:p>
    <w:p w:rsidRPr="2030048C" w:rsidP="2030048C">
      <w:pPr>
        <w:numPr>
          <w:ilvl w:val="0"/>
          <w:numId w:val="16"/>
        </w:numPr>
        <w:ind w:left="720" w:hanging="360"/>
        <w:jc w:val="both"/>
        <w:rPr>
          <w:rFonts w:ascii="Arial" w:eastAsia="Arial" w:hAnsi="Arial" w:cs="Arial"/>
          <w:sz w:val="24"/>
          <w:szCs w:val="24"/>
        </w:rPr>
      </w:pPr>
      <w:hyperlink r:id="rId18" w:history="1">
        <w:r w:rsidRPr="2030048C">
          <w:rPr>
            <w:rFonts w:ascii="Arial" w:eastAsia="Arial" w:hAnsi="Arial" w:cs="Arial"/>
            <w:sz w:val="24"/>
            <w:szCs w:val="24"/>
          </w:rPr>
          <w:t>Canvas</w:t>
        </w:r>
      </w:hyperlink>
      <w:r w:rsidRPr="2030048C">
        <w:rPr>
          <w:rFonts w:ascii="Arial" w:eastAsia="Arial" w:hAnsi="Arial" w:cs="Arial"/>
          <w:sz w:val="24"/>
          <w:szCs w:val="24"/>
        </w:rPr>
        <w:t xml:space="preserve"> – a versatile on-line interactive intranet and learning environment.</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 xml:space="preserve">Student support facilities that provide advice on issues including </w:t>
      </w:r>
      <w:hyperlink r:id="rId19" w:history="1">
        <w:r w:rsidRPr="2030048C">
          <w:rPr>
            <w:rFonts w:ascii="Arial" w:eastAsia="Arial" w:hAnsi="Arial" w:cs="Arial"/>
            <w:sz w:val="24"/>
            <w:szCs w:val="24"/>
          </w:rPr>
          <w:t>finance</w:t>
        </w:r>
      </w:hyperlink>
      <w:r w:rsidRPr="2030048C">
        <w:rPr>
          <w:rFonts w:ascii="Arial" w:eastAsia="Arial" w:hAnsi="Arial" w:cs="Arial"/>
          <w:sz w:val="24"/>
          <w:szCs w:val="24"/>
        </w:rPr>
        <w:t xml:space="preserve">, </w:t>
      </w:r>
      <w:hyperlink r:id="rId20" w:anchor="ar" w:history="1">
        <w:r w:rsidRPr="2030048C">
          <w:rPr>
            <w:rFonts w:ascii="Arial" w:eastAsia="Arial" w:hAnsi="Arial" w:cs="Arial"/>
            <w:sz w:val="24"/>
            <w:szCs w:val="24"/>
          </w:rPr>
          <w:t>regulations</w:t>
        </w:r>
      </w:hyperlink>
      <w:r w:rsidRPr="2030048C">
        <w:rPr>
          <w:rFonts w:ascii="Arial" w:eastAsia="Arial" w:hAnsi="Arial" w:cs="Arial"/>
          <w:sz w:val="24"/>
          <w:szCs w:val="24"/>
        </w:rPr>
        <w:t xml:space="preserve">, </w:t>
      </w:r>
      <w:hyperlink r:id="rId21" w:history="1">
        <w:r w:rsidRPr="2030048C">
          <w:rPr>
            <w:rFonts w:ascii="Arial" w:eastAsia="Arial" w:hAnsi="Arial" w:cs="Arial"/>
            <w:sz w:val="24"/>
            <w:szCs w:val="24"/>
          </w:rPr>
          <w:t>accommodation</w:t>
        </w:r>
      </w:hyperlink>
      <w:r w:rsidRPr="2030048C">
        <w:rPr>
          <w:rFonts w:ascii="Arial" w:eastAsia="Arial" w:hAnsi="Arial" w:cs="Arial"/>
          <w:sz w:val="24"/>
          <w:szCs w:val="24"/>
        </w:rPr>
        <w:t xml:space="preserve">, and </w:t>
      </w:r>
      <w:hyperlink r:id="rId22" w:history="1">
        <w:r w:rsidRPr="2030048C">
          <w:rPr>
            <w:rFonts w:ascii="Arial" w:eastAsia="Arial" w:hAnsi="Arial" w:cs="Arial"/>
            <w:sz w:val="24"/>
            <w:szCs w:val="24"/>
          </w:rPr>
          <w:t>international student support</w:t>
        </w:r>
      </w:hyperlink>
      <w:r w:rsidRPr="2030048C">
        <w:rPr>
          <w:rFonts w:ascii="Arial" w:eastAsia="Arial" w:hAnsi="Arial" w:cs="Arial"/>
          <w:sz w:val="24"/>
          <w:szCs w:val="24"/>
        </w:rPr>
        <w:t>.</w:t>
      </w:r>
    </w:p>
    <w:p w:rsidRPr="2030048C" w:rsidP="2030048C">
      <w:pPr>
        <w:numPr>
          <w:ilvl w:val="0"/>
          <w:numId w:val="16"/>
        </w:numPr>
        <w:ind w:left="720" w:hanging="360"/>
        <w:jc w:val="both"/>
        <w:rPr>
          <w:rFonts w:ascii="Arial" w:eastAsia="Arial" w:hAnsi="Arial" w:cs="Arial"/>
          <w:sz w:val="24"/>
          <w:szCs w:val="24"/>
        </w:rPr>
      </w:pPr>
      <w:hyperlink r:id="rId23" w:history="1">
        <w:r w:rsidRPr="2030048C">
          <w:rPr>
            <w:rFonts w:ascii="Arial" w:eastAsia="Arial" w:hAnsi="Arial" w:cs="Arial"/>
            <w:sz w:val="24"/>
            <w:szCs w:val="24"/>
          </w:rPr>
          <w:t>Disabled student support</w:t>
        </w:r>
      </w:hyperlink>
      <w:r w:rsidRPr="2030048C">
        <w:rPr>
          <w:rFonts w:ascii="Arial" w:eastAsia="Arial" w:hAnsi="Arial" w:cs="Arial"/>
          <w:sz w:val="24"/>
          <w:szCs w:val="24"/>
        </w:rPr>
        <w:t>.</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 xml:space="preserve">International students also have the additional benefit of the University’s </w:t>
      </w:r>
      <w:hyperlink r:id="rId24" w:history="1">
        <w:r w:rsidRPr="2030048C">
          <w:rPr>
            <w:rFonts w:ascii="Arial" w:eastAsia="Arial" w:hAnsi="Arial" w:cs="Arial"/>
            <w:sz w:val="24"/>
            <w:szCs w:val="24"/>
          </w:rPr>
          <w:t>International Student Advisory Centre</w:t>
        </w:r>
      </w:hyperlink>
      <w:r w:rsidRPr="2030048C">
        <w:rPr>
          <w:rFonts w:ascii="Arial" w:eastAsia="Arial" w:hAnsi="Arial" w:cs="Arial"/>
          <w:sz w:val="24"/>
          <w:szCs w:val="24"/>
        </w:rPr>
        <w:t xml:space="preserve"> (ISAC) which welcomes students on their entry to the UK and provides support throughout the student’s time at University. The IASC is based on the Kingston Hill campus, where the Accounting and Finance course is taught, and provides guidance on such items as immigration matters, living in the UK and healthcare in the UK for international students.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 xml:space="preserve">The </w:t>
      </w:r>
      <w:hyperlink r:id="rId25" w:history="1">
        <w:r w:rsidRPr="2030048C">
          <w:rPr>
            <w:rFonts w:ascii="Arial" w:eastAsia="Arial" w:hAnsi="Arial" w:cs="Arial"/>
            <w:sz w:val="24"/>
            <w:szCs w:val="24"/>
          </w:rPr>
          <w:t>Union of Kingston Students</w:t>
        </w:r>
      </w:hyperlink>
      <w:r w:rsidRPr="2030048C">
        <w:rPr>
          <w:rFonts w:ascii="Arial" w:eastAsia="Arial" w:hAnsi="Arial" w:cs="Arial"/>
          <w:sz w:val="24"/>
          <w:szCs w:val="24"/>
        </w:rPr>
        <w:t>, which provides a wide variety of clubs and societies and social events, as well as supporting and providing guidance to students on a variety of academic issues.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Professional exemptions</w:t>
      </w:r>
    </w:p>
    <w:p w:rsidR="3D0EBCB8" w:rsidRPr="2030048C" w:rsidP="2030048C">
      <w:pPr>
        <w:numPr>
          <w:ilvl w:val="0"/>
          <w:numId w:val="18"/>
        </w:numPr>
        <w:ind w:left="720" w:hanging="360"/>
        <w:jc w:val="both"/>
        <w:rPr>
          <w:rFonts w:ascii="Arial" w:eastAsia="Arial" w:hAnsi="Arial" w:cs="Arial"/>
          <w:sz w:val="24"/>
          <w:szCs w:val="24"/>
        </w:rPr>
      </w:pPr>
      <w:r w:rsidRPr="2030048C">
        <w:rPr>
          <w:rFonts w:ascii="Arial" w:eastAsia="Arial" w:hAnsi="Arial" w:cs="Arial"/>
          <w:sz w:val="24"/>
          <w:szCs w:val="24"/>
        </w:rPr>
        <w:t>External examiners – individual experts from another institution who assess the quality and comparability of our standards to those in other institutions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level surveys and the National Student Survey (NSS)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Moderation policies which ensure marking is fair and consistent</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492"/>
        <w:gridCol w:w="312"/>
        <w:gridCol w:w="801"/>
        <w:gridCol w:w="801"/>
        <w:gridCol w:w="801"/>
        <w:gridCol w:w="800"/>
        <w:gridCol w:w="1"/>
        <w:gridCol w:w="801"/>
        <w:gridCol w:w="801"/>
        <w:gridCol w:w="799"/>
        <w:gridCol w:w="2"/>
        <w:gridCol w:w="801"/>
        <w:gridCol w:w="79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BA4203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BA4801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BA5507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BA6801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BA6802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MediumGrid1-Accent21">
    <w:name w:val="MediumGrid1-Accent21"/>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nvas.kingston.ac.uk/courses/7438" TargetMode="External"/><Relationship Id="rId18" Type="http://schemas.openxmlformats.org/officeDocument/2006/relationships/hyperlink" Target="http://canvas.kingston.ac.uk/" TargetMode="External"/><Relationship Id="rId26" Type="http://schemas.openxmlformats.org/officeDocument/2006/relationships/theme" Target="theme/theme1.xml"/><Relationship Id="rId8" Type="http://schemas.openxmlformats.org/officeDocument/2006/relationships/image" Target="media/image1.png"/><Relationship Id="rId21" Type="http://schemas.openxmlformats.org/officeDocument/2006/relationships/hyperlink" Target="https://kingstonuniversity.sharepoint.com/sites/mykingston/mysupport/myaccommodation/Pages/default.aspx" TargetMode="External"/><Relationship Id="rId3" Type="http://schemas.openxmlformats.org/officeDocument/2006/relationships/fontTable" Target="fontTable.xml"/><Relationship Id="rId12" Type="http://schemas.openxmlformats.org/officeDocument/2006/relationships/hyperlink" Target="http://jobscentral.kingston.ac.uk/" TargetMode="External"/><Relationship Id="rId17" Type="http://schemas.openxmlformats.org/officeDocument/2006/relationships/hyperlink" Target="https://www.kingston.ac.uk/kingston-language-scheme/" TargetMode="External"/><Relationship Id="rId25" Type="http://schemas.openxmlformats.org/officeDocument/2006/relationships/hyperlink" Target="https://www.kingstonstudents.net/" TargetMode="External"/><Relationship Id="rId7" Type="http://schemas.openxmlformats.org/officeDocument/2006/relationships/customXml" Target="../customXml/item4.xml"/><Relationship Id="rId16" Type="http://schemas.openxmlformats.org/officeDocument/2006/relationships/hyperlink" Target="https://kingstonuniversity.sharepoint.com/sites/mykingston/mysupport/ELD/Pages/default.aspx" TargetMode="External"/><Relationship Id="rId2" Type="http://schemas.openxmlformats.org/officeDocument/2006/relationships/webSettings" Target="webSettings.xml"/><Relationship Id="rId20" Type="http://schemas.openxmlformats.org/officeDocument/2006/relationships/hyperlink" Target="https://www.kingston.ac.uk/aboutkingstonuniversity/howtheuniversityworks/policiesandregulations/" TargetMode="External"/><Relationship Id="rId1" Type="http://schemas.openxmlformats.org/officeDocument/2006/relationships/settings" Target="settings.xml"/><Relationship Id="rId11" Type="http://schemas.openxmlformats.org/officeDocument/2006/relationships/hyperlink" Target="https://d68b3152cf5d08c2f050-97c828cc9502c69ac5af7576c62d48d6.ssl.cf3.rackcdn.com/documents/user-upload/kingston-university-63963086086-kingston-university-gr5-changes.pdf" TargetMode="External"/><Relationship Id="rId24" Type="http://schemas.openxmlformats.org/officeDocument/2006/relationships/hyperlink" Target="https://www.kingston.ac.uk/international/visas-immigration-and-cas/advice-for-international-students/" TargetMode="External"/><Relationship Id="rId6" Type="http://schemas.openxmlformats.org/officeDocument/2006/relationships/customXml" Target="../customXml/item3.xml"/><Relationship Id="rId15" Type="http://schemas.openxmlformats.org/officeDocument/2006/relationships/hyperlink" Target="https://kingstonuniversity.sharepoint.com/sites/mykingston/mysupport/itsupport/lynda/Pages/default.aspx" TargetMode="External"/><Relationship Id="rId23" Type="http://schemas.openxmlformats.org/officeDocument/2006/relationships/hyperlink" Target="https://kingstonuniversity.sharepoint.com/sites/mykingston/mysupport/studentwellbeing" TargetMode="External"/><Relationship Id="rId28" Type="http://schemas.openxmlformats.org/officeDocument/2006/relationships/styles" Target="styles.xml"/><Relationship Id="rId10" Type="http://schemas.openxmlformats.org/officeDocument/2006/relationships/footer" Target="footer1.xml"/><Relationship Id="rId19" Type="http://schemas.openxmlformats.org/officeDocument/2006/relationships/hyperlink" Target="https://kingstonuniversity.sharepoint.com/sites/mykingston/mysupport/money/Pages/default.aspx" TargetMode="External"/><Relationship Id="rId14" Type="http://schemas.openxmlformats.org/officeDocument/2006/relationships/hyperlink" Target="https://www.kingston.ac.uk/information-and-technology-services/service-desk-portal/" TargetMode="External"/><Relationship Id="rId22" Type="http://schemas.openxmlformats.org/officeDocument/2006/relationships/hyperlink" Target="https://kingstonuniversity.sharepoint.com/sites/mykingston/mysupport/international/Pages/default.aspx" TargetMode="External"/><Relationship Id="rId27"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991CA35-2112-48E1-AC7F-3FBBDF367EE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