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University (ESU) -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Civil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University (ESU) -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Kandy and ESU Jaffna, 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tbl>
                  <w:tblPr>
                    <w:tblStyle w:val="MsoTableGrid0"/>
                    <w:tblCellSpacing w:w="15" w:type="dxa"/>
                    <w:tblCellMar>
                      <w:top w:w="15" w:type="dxa"/>
                      <w:left w:w="15" w:type="dxa"/>
                      <w:bottom w:w="15" w:type="dxa"/>
                      <w:right w:w="15" w:type="dxa"/>
                    </w:tblCellMar>
                    <w:tblLook w:val="05E0"/>
                  </w:tblPr>
                  <w:tblGrid>
                    <w:gridCol w:w="570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From: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Edexcel HND Levels: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pass in the relevant HND to include a pass in the twenty units listed in Table 1 below (or their equivalent) and the achievement of an overall score of 300 credit points of which 150 would be at Level 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English Language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International English Language Testing System (IELTS) score of 6.0 overall with minimum 5.5 in Speaking, Writing, Reading and Listening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are considered as equivalent alternatives to IELTS requirements for entry into Kingston University programmes franchised for deliver at ESOFT in Sri Lanka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O Level English Language: Credit, Distinction or Very Good Pass,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in Reading, Writing, Listening and Speaking: results which equate to our normal entry conditions in the following ways (NB: the overall grade to be an average of the four skills module results)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697"/>
                          <w:gridCol w:w="830"/>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right="9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N.B.       </w:t>
                        </w:r>
                        <w:r w:rsidRPr="2030048C">
                          <w:rPr>
                            <w:rStyle w:val="normaltextrun"/>
                            <w:rFonts w:ascii="Arial" w:eastAsia="Arial" w:hAnsi="Arial" w:cs="Arial"/>
                            <w:b w:val="0"/>
                            <w:bCs w:val="0"/>
                            <w:i/>
                            <w:iCs/>
                            <w:color w:val="000000"/>
                            <w:sz w:val="24"/>
                            <w:szCs w:val="24"/>
                            <w:shd w:val="clear" w:color="auto" w:fill="FFFFFF"/>
                          </w:rPr>
                          <w:t>All applications will be subject to the Kingston University Accreditation of Record = Prior Learning (RPL) rules and regulations applicable at the time of application.</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variants required</w:t>
            </w:r>
            <w:r w:rsidRPr="158602C4">
              <w:rPr>
                <w:rStyle w:val="normaltextrun"/>
                <w:rFonts w:ascii="Arial" w:eastAsia="Arial" w:hAnsi="Arial" w:cs="Arial"/>
                <w:b/>
                <w:bCs/>
                <w:color w:val="000000" w:themeColor="text1" w:themeShade="FF" w:themeTint="FF"/>
                <w:sz w:val="24"/>
                <w:szCs w:val="24"/>
              </w:rPr>
              <w:t xml:space="preserve"> to meet the new Engineering Council compensation-and- condonement-policy - </w:t>
            </w:r>
            <w:hyperlink r:id="rId9" w:history="1">
              <w:r w:rsidRPr="158602C4">
                <w:rPr>
                  <w:rStyle w:val="normaltextrun"/>
                  <w:rFonts w:ascii="Arial" w:eastAsia="Arial" w:hAnsi="Arial" w:cs="Arial"/>
                  <w:b w:val="0"/>
                  <w:bCs w:val="0"/>
                  <w:color w:val="000000" w:themeColor="text1" w:themeShade="FF" w:themeTint="FF"/>
                  <w:sz w:val="24"/>
                  <w:szCs w:val="24"/>
                </w:rPr>
                <w:t>https://www.engc.org.uk/media/3844/compensation-and-condonement-policy-2021.pdf</w:t>
              </w:r>
            </w:hyperlink>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programme is: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programme are: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core civil engineering subjects of materials, structures and geotechnics to apply existing and emerging technology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fieldwork and analyse the data obtained for use in planning and design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 Use computer technology to assist with information retrieval, management and communication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 Comply with Health and Safety regulation and procedure in practical engineering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 Work independently or as part of a team to initiate, investigate, plan, manage and drive projects to a successful conclusion and produce the associated documentation (proposals, plans, reports, presentations).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 Use safely laboratory and workshop equipment for experimental investigation and evaluate data to produce practically valuable results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and environmental assessment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complex technical equipment and instruments, gaining a basic understanding of the underlying technology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sz w:val="22"/>
          <w:szCs w:val="22"/>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47"/>
        <w:gridCol w:w="367"/>
        <w:gridCol w:w="927"/>
        <w:gridCol w:w="941"/>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table" w:customStyle="1" w:styleId="MsoTableGrid0">
    <w:name w:val="MsoTableGrid0"/>
    <w:basedOn w:val="TableNormal"/>
    <w:tbl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orstudents.org.uk/media/53821cbf-5779-4380-bf2a-aa8f5c53ecd4/sector-recognised-standards.pdf%22"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ngc.org.uk/media/3844/compensation-and-condonement-policy-2021.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