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Renewable Energy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Renewable Energy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Renewable Energy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Renewable Energy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Renewable Energy Engineering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PPREE1REE03</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PFREE1REE03</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Renewable Energy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Renewable Energy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Renewable Energy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Renewable Energy Engineering Studies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PFREE1REE99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Institution of Mechanical Engineers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In accordance with Kingston University postgraduate regulations, a student may be awarded compensation for up to 30 credits. Provided this condition is met, the student remains eligible to be awarded the MSc Renewable Energy Studies.</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main aims of the MSc in Renewable Energy Engineering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students with an in-depth knowledge and critical understanding of the theoretical principles and practical approaches used in renewable energy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develop the skills in research, analysis, creativity, and critical thinking needed to successfully plan and execute a renewable engineering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develop the skills required to work in a multi-disciplinary team within an engineering organisation with real industrial constraints and good understanding of the environmental, economical, social, and legal implications of professional practice and professional codes of conduct.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equip students with the professional attitudes and wide range of transferable skills in engineering and project management which would enable them to develop and exploit their knowledge and technical expertise in the furtherance of their career and employability.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students with a strategic overview of management issues in engineering, particularly in the sustainable energy sector.</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advanced knowledge and understanding of the principles governing renewable energy engineering in the context of design and development of the renewable technologies and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apply computer-based and other advanced technologies to a wide range of renewable energy engineering applications.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renewable energy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modern materials and manufacturing processes for mechanical components associated with renewable energy engineering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Comprehend and evaluate renewable project finance including the management and techniques needed for pricing and cost control of projects in respect to time, cost and the risks inherent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field of Renewable Energy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apply appropriate tools and techniques for the improvement of quality in renewable energy engineering systems products and processes.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of the principles and detailed requirements for the management of safety and quality issues with respect to renewable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to enable the problems and issues to be successfully resolved.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Identify resources needed to undertake the task (or project) and to schedule and manage the resources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in-depth knowledge of the nature, scope and objectives of the varying organisations and inter-firm relationships that are present in engineering, particularly relating to efficient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be able to critically evaluate, analyse and communicate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Evidence ability to successfully complete and evaluate a task (or project), revising the plan where necessary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good awareness of the impact of renewable technology and related projects at social, environmental, economical and political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appropriate software tools for the design and analysis of mechanical components and renewable energy management and control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the renewable energy engineering business environment, including legal aspects, and apply modern operations and financial management techniques and good practices in a range of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Motivate and direct others to enable an effective contribution from all participants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knowledge and understanding in the use of computer aided technologies for modelling, simulation and prototyping renewable energy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It is predicted that renewable energy will represent 30% of the world energy supply by 2030. This means that there will be great demand for qualified and skilled engineers with specialist knowledge of renewable energy technology. This course is designed to produce engineers with a broad understanding of renewable energy systems design and development, project engineering, and energy resource management and a detailed understanding of a range of renewable energy technologies.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main features of the course are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Teaching by leading academics and industry experts in the fields of solar, wind, biomass and fuel cells which considers theoretical and practical concepts for power generation from renewable sources.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Opportunities to develop hands on skills in 3D solid modelling, FEA and CFD analysis, and specialist simulation packages such as Polysun and Wind-Pro.</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Presentations by renewable energy providers and consultancy firms outlining their activities and market experiences.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Field trips to major renewable energy sites integrated with major assignments to motivate and enhance students teaching and learning.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Individually tailored sponsored and non-sponsored dissertation projects in the areas of wind, solar, biofuels and fuel-cell technologies, supervised by a committed team of full time and part time staff.</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Programme accredited by the Institute of Mechanical Engineers (IMechE), as meeting the requirements for Further Learning for a Chartered Engineer (CEng) for candidates who have already acquired an accredited CEng (Partial) BEng (Hons) degree.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High rate of employment and internship with leading renewable companies; 80% of the students graduated on this course have been recruited by relevant employers such as Atkins, Alstom Power, Inditex, Vattenfall, Shell, SGS UK Ltd.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Possible progression to PhD research studies on completion of the programme for those students interested in following an academic or research career.</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also helps develop employment-ready students through an integrated industrial experience in the form of a work placement on the two-year version of the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part of the University Postgraduate Regulations (PR). Programmes in the PR are made up of modules which are designated at level 7. Single modules in the framework are valued at 15 &amp; 30 credits and the programme consists of 3 subject specific single 15 credit modules (3 core &amp; 1 optional), 2 subject specific single 30 credit modules and the capstone project module valued as 2 single modules (60 credits). A Postgraduate Certificate (PgCert) or Postgraduate Diploma (PgDip) may be offered as an exit award, with the minimum requirement for a PgCert of 60 credits and PgDip of 120 credits. The MSc award is achieved with 180 credits completed of (all modules and the final dissertation).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accredited by the Institution of Mechanical Engineers (IMechE) to Engineering Council regulations. The award of the accredited MSc requires completion of all modules with only 20 credits compensation; however, 30 credits of compensation is allowed under University Postgraduate Regulations and, in the event that no further resit opportunities are available, compensation may be applied, and the award of MSc Renewable Energy Studies awarded. This award is not accredited with the IMechE.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course offers the PG Certificate (PgCert), PG Diploma (PgDip) and MSc Renewable Energy Studies only as an exit award.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and specific additions that are sometimes required for accreditation by outside bodies (e.g., professional, or statutory bodies that confer professional accreditation).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must complete a portfolio assessment which includes a reflection on how the theories they have learnt during their teaching year have helped them in their placement and demonstrate ability to apply their teaching in a real-world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Renewable Energy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Renewable Energy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Fuel Cells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Renewable Design &amp; Performance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Solar Power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Wind Power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Fluid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ME7754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Renewable Energy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principles of teaching, learning and assessment are in line with the University's strategy. The fields are designed to give students a balanced portfolio of theoretical and practical experience, embracing diversity and individuality.</w:t>
      </w:r>
    </w:p>
    <w:p w:rsidRPr="2030048C" w:rsidP="2030048C">
      <w:pPr>
        <w:rPr>
          <w:rFonts w:ascii="Arial" w:eastAsia="Arial" w:hAnsi="Arial" w:cs="Arial"/>
          <w:sz w:val="24"/>
          <w:szCs w:val="24"/>
        </w:rPr>
      </w:pPr>
      <w:r w:rsidRPr="2030048C">
        <w:rPr>
          <w:rFonts w:ascii="Arial" w:eastAsia="Arial" w:hAnsi="Arial" w:cs="Arial"/>
          <w:sz w:val="24"/>
          <w:szCs w:val="24"/>
        </w:rPr>
        <w:t>Industry specialists allied with lecturers and guest speakers contribute to our courses, reinforcing the theoretical aspects and provide an informative insight into industry. The external lecturers in particular promote innovation and creativity whilst offering an insight into entrepreneurial culture. All driven by the latest research and use of cutting-edge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rsidRPr="2030048C" w:rsidP="2030048C">
      <w:pPr>
        <w:rPr>
          <w:rFonts w:ascii="Arial" w:eastAsia="Arial" w:hAnsi="Arial" w:cs="Arial"/>
          <w:sz w:val="24"/>
          <w:szCs w:val="24"/>
        </w:rPr>
      </w:pPr>
      <w:r w:rsidRPr="2030048C">
        <w:rPr>
          <w:rFonts w:ascii="Arial" w:eastAsia="Arial" w:hAnsi="Arial" w:cs="Arial"/>
          <w:sz w:val="24"/>
          <w:szCs w:val="24"/>
        </w:rPr>
        <w:t>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w:t>
      </w:r>
      <w:r w:rsidRPr="2030048C">
        <w:rPr>
          <w:rFonts w:ascii="Arial" w:eastAsia="Arial" w:hAnsi="Arial" w:cs="Arial"/>
          <w:sz w:val="24"/>
          <w:szCs w:val="24"/>
        </w:rPr>
        <w:t>.</w:t>
      </w:r>
    </w:p>
    <w:p w:rsidRPr="2030048C" w:rsidP="2030048C">
      <w:pPr>
        <w:rPr>
          <w:rFonts w:ascii="Arial" w:eastAsia="Arial" w:hAnsi="Arial" w:cs="Arial"/>
          <w:sz w:val="24"/>
          <w:szCs w:val="24"/>
        </w:rPr>
      </w:pPr>
      <w:r w:rsidRPr="2030048C">
        <w:rPr>
          <w:rFonts w:ascii="Arial" w:eastAsia="Arial" w:hAnsi="Arial" w:cs="Arial"/>
          <w:sz w:val="24"/>
          <w:szCs w:val="24"/>
        </w:rPr>
        <w:t>It is recognised that teamwork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Pr="2030048C" w:rsidP="2030048C">
      <w:pPr>
        <w:rPr>
          <w:rFonts w:ascii="Arial" w:eastAsia="Arial" w:hAnsi="Arial" w:cs="Arial"/>
          <w:sz w:val="24"/>
          <w:szCs w:val="24"/>
        </w:rPr>
      </w:pPr>
      <w:r w:rsidRPr="2030048C">
        <w:rPr>
          <w:rFonts w:ascii="Arial" w:eastAsia="Arial" w:hAnsi="Arial" w:cs="Arial"/>
          <w:sz w:val="24"/>
          <w:szCs w:val="24"/>
        </w:rPr>
        <w:t>The course teams are aware of the need for effective communication, both written and verbal, and take pride in the fact that the courses provide, in this regard, a means of preparing the students for their longer-term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Pr="2030048C" w:rsidP="2030048C">
      <w:pPr>
        <w:rPr>
          <w:rFonts w:ascii="Arial" w:eastAsia="Arial" w:hAnsi="Arial" w:cs="Arial"/>
          <w:sz w:val="24"/>
          <w:szCs w:val="24"/>
        </w:rPr>
      </w:pPr>
      <w:r w:rsidRPr="2030048C">
        <w:rPr>
          <w:rFonts w:ascii="Arial" w:eastAsia="Arial" w:hAnsi="Arial" w:cs="Arial"/>
          <w:sz w:val="24"/>
          <w:szCs w:val="24"/>
        </w:rPr>
        <w:t>The individual project dissertation provides a challenge to the candidate to undertake a real-world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2030048C">
        <w:rPr>
          <w:rFonts w:ascii="Arial" w:eastAsia="Arial" w:hAnsi="Arial" w:cs="Arial"/>
          <w:sz w:val="24"/>
          <w:szCs w:val="24"/>
        </w:rPr>
        <w:t>.</w:t>
      </w:r>
      <w:r w:rsidRPr="2030048C">
        <w:rPr>
          <w:rFonts w:ascii="Arial" w:eastAsia="Arial" w:hAnsi="Arial" w:cs="Arial"/>
          <w:sz w:val="24"/>
          <w:szCs w:val="24"/>
        </w:rPr>
        <w:t xml:space="preserve"> The project work is normally aligned with the research field of the staff involved and often leads to students publishing of join papers with their project supervisor.</w:t>
      </w:r>
    </w:p>
    <w:p w:rsidRPr="2030048C" w:rsidP="2030048C">
      <w:pPr>
        <w:rPr>
          <w:rFonts w:ascii="Arial" w:eastAsia="Arial" w:hAnsi="Arial" w:cs="Arial"/>
          <w:sz w:val="24"/>
          <w:szCs w:val="24"/>
        </w:rPr>
      </w:pPr>
      <w:r w:rsidRPr="2030048C">
        <w:rPr>
          <w:rFonts w:ascii="Arial" w:eastAsia="Arial" w:hAnsi="Arial" w:cs="Arial"/>
          <w:sz w:val="24"/>
          <w:szCs w:val="24"/>
        </w:rPr>
        <w:t>Students also have a range of opportunities to participate in extra-curricular activities based around clubs and societies (e.g., Formula Student Club and Engineering society), which offer further opportunities to develop their communication skills, teamwork, and ability to apply their theoretical knowledge to hands-on activities.</w:t>
      </w:r>
    </w:p>
    <w:p w:rsidRPr="2030048C" w:rsidP="2030048C">
      <w:pPr>
        <w:rPr>
          <w:rFonts w:ascii="Arial" w:eastAsia="Arial" w:hAnsi="Arial" w:cs="Arial"/>
          <w:sz w:val="24"/>
          <w:szCs w:val="24"/>
        </w:rPr>
      </w:pPr>
      <w:r w:rsidRPr="2030048C">
        <w:rPr>
          <w:rFonts w:ascii="Arial" w:eastAsia="Arial" w:hAnsi="Arial" w:cs="Arial"/>
          <w:sz w:val="24"/>
          <w:szCs w:val="24"/>
        </w:rPr>
        <w:t>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w:t>
      </w:r>
    </w:p>
    <w:p w:rsidRPr="2030048C" w:rsidP="2030048C">
      <w:pPr>
        <w:rPr>
          <w:rFonts w:ascii="Arial" w:eastAsia="Arial" w:hAnsi="Arial" w:cs="Arial"/>
          <w:sz w:val="24"/>
          <w:szCs w:val="24"/>
        </w:rPr>
      </w:pPr>
      <w:r w:rsidRPr="2030048C">
        <w:rPr>
          <w:rFonts w:ascii="Arial" w:eastAsia="Arial" w:hAnsi="Arial" w:cs="Arial"/>
          <w:sz w:val="24"/>
          <w:szCs w:val="24"/>
        </w:rPr>
        <w:t>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Pr="2030048C" w:rsidP="2030048C">
      <w:pPr>
        <w:rPr>
          <w:rFonts w:ascii="Arial" w:eastAsia="Arial" w:hAnsi="Arial" w:cs="Arial"/>
          <w:sz w:val="24"/>
          <w:szCs w:val="24"/>
        </w:rPr>
      </w:pPr>
      <w:r w:rsidRPr="2030048C">
        <w:rPr>
          <w:rFonts w:ascii="Arial" w:eastAsia="Arial" w:hAnsi="Arial" w:cs="Arial"/>
          <w:sz w:val="24"/>
          <w:szCs w:val="24"/>
        </w:rPr>
        <w:t>The programme embraces the use of Technology Enhanced Learning (TEL) to engage students actively. Some of the most widely used technologies in problem-solving activities are computer simulations and modelling which encompass Wind-Pro, Polysun and GaBi/Sima Pro in the curriculum. Digital tools such as a team’s work file syncs Cloud, VLE assessment and YouTube videos are used to enhance the quality of student learning experience.</w:t>
      </w:r>
    </w:p>
    <w:p w:rsidRPr="2030048C" w:rsidP="2030048C">
      <w:pPr>
        <w:rPr>
          <w:rFonts w:ascii="Arial" w:eastAsia="Arial" w:hAnsi="Arial" w:cs="Arial"/>
          <w:sz w:val="24"/>
          <w:szCs w:val="24"/>
        </w:rPr>
      </w:pPr>
      <w:r w:rsidRPr="2030048C">
        <w:rPr>
          <w:rFonts w:ascii="Arial" w:eastAsia="Arial" w:hAnsi="Arial" w:cs="Arial"/>
          <w:sz w:val="24"/>
          <w:szCs w:val="24"/>
        </w:rPr>
        <w:t>Research-informed teaching</w:t>
      </w:r>
    </w:p>
    <w:p w:rsidRPr="2030048C" w:rsidP="2030048C">
      <w:pPr>
        <w:rPr>
          <w:rFonts w:ascii="Arial" w:eastAsia="Arial" w:hAnsi="Arial" w:cs="Arial"/>
          <w:sz w:val="24"/>
          <w:szCs w:val="24"/>
        </w:rPr>
      </w:pPr>
      <w:r w:rsidRPr="2030048C">
        <w:rPr>
          <w:rFonts w:ascii="Arial" w:eastAsia="Arial" w:hAnsi="Arial" w:cs="Arial"/>
          <w:sz w:val="24"/>
          <w:szCs w:val="24"/>
        </w:rPr>
        <w:t>Most of the module teams are engaged in engineering research or industry-related professional activities, such as Knowledge Transfer Partnerships (KTPs), which have significantly influenced the design and content of the programme. The Department’s Industrial Advisory Board also provides valuable input from industry, further informing the programme’s development.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academic staff are committed to continuous professional development in teaching and learning in higher education and wider pedagogic issues. Their research and development of innovative ideas informs the curriculum and enhances student learning experience both within and outside the classroom.</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Inclusive teaching practice</w:t>
      </w:r>
    </w:p>
    <w:p w:rsidRPr="2030048C" w:rsidP="2030048C">
      <w:pPr>
        <w:rPr>
          <w:rFonts w:ascii="Arial" w:eastAsia="Arial" w:hAnsi="Arial" w:cs="Arial"/>
          <w:sz w:val="24"/>
          <w:szCs w:val="24"/>
        </w:rPr>
      </w:pPr>
      <w:r w:rsidRPr="2030048C">
        <w:rPr>
          <w:rFonts w:ascii="Arial" w:eastAsia="Arial" w:hAnsi="Arial" w:cs="Arial"/>
          <w:sz w:val="24"/>
          <w:szCs w:val="24"/>
        </w:rPr>
        <w:t>The University is committed to an inclusive curriculum, encouraging students to consider themselves as members of a professional community. The Student Voice Committee provides a platform for students to voice their opinions and suggest improvements for developing a more inclusive curriculum that takes into account the specific circumstances of the student body. To cater to different learning preferences and experiences, a diverse range of teaching activities is provided with a careful balance between individual and group-based activities. The assessment brief, provided at the beginning of the year, includes marking criteria for all assessments. The language used in the criteria is clear and concise to ensure that students understand the expectations. Additionally, in-class discussions are held to allow students to question and clarify any doubts regarding the marking criteria.</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Focus on Active Learning and Enhancing student Engagement.</w:t>
      </w:r>
    </w:p>
    <w:p w:rsidRPr="2030048C" w:rsidP="2030048C">
      <w:pPr>
        <w:rPr>
          <w:rFonts w:ascii="Arial" w:eastAsia="Arial" w:hAnsi="Arial" w:cs="Arial"/>
          <w:sz w:val="24"/>
          <w:szCs w:val="24"/>
        </w:rPr>
      </w:pPr>
      <w:r w:rsidRPr="2030048C">
        <w:rPr>
          <w:rFonts w:ascii="Arial" w:eastAsia="Arial" w:hAnsi="Arial" w:cs="Arial"/>
          <w:sz w:val="24"/>
          <w:szCs w:val="24"/>
        </w:rPr>
        <w:t>The programme emphasises on active learning through collaborative, problem-solving and enquiry-based workshops, and tutorials. Engaging sessions require students to prepare beforehand and actively participate during the class, as opposed to passively listening to lectures. Furthermore, the guided learning approach encourages students to consolidate their knowledge after the session. Additionally, students can benefit from opportunities for peer learning, group work and presentation practice. In these interactive sessions, the lecturer plays a crucial role in supporting students to construct their own knowledge and understanding while introducing and summarising key concepts through short mini lectures.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Active and collaborative learning techniques are utilised in the lectures, which may include interactive presentation software, question-and-answer sessions and brief student discussions integrated into the lecture. By incorporating these methods, valuable contact time is spent on applying and critically analysing knowledge, while also developing key skills such as problem-solving, communication and teamwork. To further promote student engagement and sense of belonging, the programme offers various opportunities for students to interact with staff and peers, including through the personal tutorial scheme (PTS), field work, industrial visits, extra-curricular seminars, research internships, course representative system, student ambassador work, peer mentoring and outreach initiatives, as well as hands-on activities such as Formula Student, TT-Bike racing, Robotics Club and UK Talent. These efforts also support improved retention and progression among students and enhance student engagement, creativity, confidence, and self-reliance.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Development of Employability Skills</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The programme not only focuses on imparting theoretical knowledge but also aims to develop a wide range of essential employability skills. This is achieved by embedding future-oriented skills throughout the curriculum via a Research Techniques, Innovation &amp; Sustainability module. Through the programme, students are equipped with effective communication, problem-solving and creative thinking skills – qualities that employers seek in postgraduates. The integration of ‘Skills for Innovation’ across both business and higher education domains ensures that graduates have the skills, experience and opportunities required to excel in their chosen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is designed with close consultation with the School’s Industrial Advisory Board, hence taking on board the latest requirements of industry for graduates. Employability skills are developed throughout the delivery of the modules, particularly as part of capstone dissertation. Furthermore, students are equipped with business, management, and entrepreneurial skills to enhance their employability potential globally. Delivery of many modules involves industrial speakers, who introduce students to latest industrial requirements.</w:t>
      </w:r>
    </w:p>
    <w:p w:rsidRPr="2030048C" w:rsidP="2030048C">
      <w:pPr>
        <w:rPr>
          <w:rFonts w:ascii="Arial" w:eastAsia="Arial" w:hAnsi="Arial" w:cs="Arial"/>
          <w:sz w:val="24"/>
          <w:szCs w:val="24"/>
        </w:rPr>
      </w:pPr>
      <w:r w:rsidRPr="2030048C">
        <w:rPr>
          <w:rFonts w:ascii="Arial" w:eastAsia="Arial" w:hAnsi="Arial" w:cs="Arial"/>
          <w:sz w:val="24"/>
          <w:szCs w:val="24"/>
        </w:rPr>
        <w:t>Employability criteria identified using feedback from employers, alumni, Industrial Advisory Board, and the Institution of Mechanical Engineers (IMechE) are embedded in the curriculum. Each module is examined to determine opportunities to incorporate employability skills. The University’s academic and Careers and Employability Service teams identify appropriate provisions and tailor opportunities to bridge gaps.</w:t>
      </w:r>
    </w:p>
    <w:p w:rsidRPr="2030048C" w:rsidP="2030048C">
      <w:pPr>
        <w:rPr>
          <w:rFonts w:ascii="Arial" w:eastAsia="Arial" w:hAnsi="Arial" w:cs="Arial"/>
          <w:sz w:val="24"/>
          <w:szCs w:val="24"/>
        </w:rPr>
      </w:pPr>
      <w:r w:rsidRPr="2030048C">
        <w:rPr>
          <w:rFonts w:ascii="Arial" w:eastAsia="Arial" w:hAnsi="Arial" w:cs="Arial"/>
          <w:sz w:val="24"/>
          <w:szCs w:val="24"/>
        </w:rPr>
        <w:t>Throughout the course students have access to a dedicated employment coordinator; attend specially arranged employer seminars, university career workshops and research seminars, to prepare them for the world of work once graduated.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who successfully complete the MSc will have acquired significant research and analytical skills in the broader engineering disciplines allied to renewable energy engineering and will have substantially enhanced prospects of gaining employment or career progression in the renewable energy engineering industry. Such skills acquired includes computational fluid flow dynamics and simulations, economic and NPV calculations, 3D system design and modelling, operational performance and field characteristics evaluation using Polysun and Wind-Pro advanced software simulation and analysis.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Typical examples of the graduated student destination so far are as follows: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Business Analyst, full time employee of Smartest Energy Plc.</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CFD analyst, worked on internship programme with Nuclear Institute in Netherland.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Inspection Engineer, full time employee of Garrad Hassan Plc.</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Project Cost Controller, full time employee of Vattenfall Wind Power Ltd specializing in offshore wind farm installation.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PV Design Engineer, full time employee of Renewable Resources Ltd, specializing in commercial PV installation.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level and content of courses are relevant and satisfy the Engineering Council's guidance and criteria (for further information see the Institution of Mechanical Engineering (IMechE) and Engineering Council (EC) links part K).</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Additionally, Students are supported by a range of other course and/or university level systems, including: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on use of IT and workshop/lab facilities.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dedicated employability consultant practitioner.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induction programme at the beginning of each new academic session.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Series of research seminars delivered by internal and external speakers informing students about latest advances in research.</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Invited guest lecturers informing students about latest developments in technology and professional practise.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(SVC).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Virtual Learning Environment (VLE).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ECE Study Skills Centre (S3) that provides academic skills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KU student support facilities that provide advice on issues such as finance, regulations, legal matters, accommodation, etc.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KU Careers and Employability Service.</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Postgraduate Taught Experience Survey (PTES)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Industrial Advisory Board</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Professional body reaccreditation is required every four years.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 under licence from the UK regulator, the Engineering Council, as meeting the requirements for further learning for a Chartered Engineer (CEng) status for candidates who have already acquired an accredited CEng (Partial) BEng (Hons) degree.</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667"/>
        <w:gridCol w:w="500"/>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