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Construction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14/12/2012</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16/10/2025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Management in Construction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(PgDip) Management in Construction</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Postgraduate Certificate (PgCert) – Management in Construction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PPCMG1CMG20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PFCMG1CMG20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Management in Construction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Management in Construction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Management in Construction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PFCMG1CMG99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both pathways, Management in Construction and Management in Construction with Civil Engineering, the courses are accredited by Chartered Institute of Building (</w:t>
                  </w:r>
                  <w:hyperlink r:id="rId9" w:history="1">
                    <w:r w:rsidRPr="2030048C">
                      <w:rPr>
                        <w:rStyle w:val="normaltextrun"/>
                        <w:rFonts w:ascii="Arial" w:eastAsia="Arial" w:hAnsi="Arial" w:cs="Arial"/>
                        <w:b w:val="0"/>
                        <w:bCs w:val="0"/>
                        <w:color w:val="000000"/>
                        <w:sz w:val="24"/>
                        <w:szCs w:val="24"/>
                        <w:shd w:val="clear" w:color="auto" w:fill="FFFFFF"/>
                      </w:rPr>
                      <w:t>CIOB</w:t>
                    </w:r>
                  </w:hyperlink>
                  <w:r w:rsidRPr="2030048C">
                    <w:rPr>
                      <w:rStyle w:val="normaltextrun"/>
                      <w:rFonts w:ascii="Arial" w:eastAsia="Arial" w:hAnsi="Arial" w:cs="Arial"/>
                      <w:b w:val="0"/>
                      <w:bCs w:val="0"/>
                      <w:color w:val="000000"/>
                      <w:sz w:val="24"/>
                      <w:szCs w:val="24"/>
                      <w:shd w:val="clear" w:color="auto" w:fill="FFFFFF"/>
                    </w:rPr>
                    <w: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pathway Management in Construction with Civil Engineering, the degree is accredited by the Joint Board of Moderators (</w:t>
                  </w:r>
                  <w:hyperlink r:id="rId10" w:history="1">
                    <w:r w:rsidRPr="2030048C">
                      <w:rPr>
                        <w:rStyle w:val="normaltextrun"/>
                        <w:rFonts w:ascii="Arial" w:eastAsia="Arial" w:hAnsi="Arial" w:cs="Arial"/>
                        <w:b w:val="0"/>
                        <w:bCs w:val="0"/>
                        <w:color w:val="000000"/>
                        <w:sz w:val="24"/>
                        <w:szCs w:val="24"/>
                        <w:shd w:val="clear" w:color="auto" w:fill="FFFFFF"/>
                      </w:rPr>
                      <w:t>JBM</w:t>
                    </w:r>
                  </w:hyperlink>
                  <w:r w:rsidRPr="2030048C">
                    <w:rPr>
                      <w:rStyle w:val="normaltextrun"/>
                      <w:rFonts w:ascii="Arial" w:eastAsia="Arial" w:hAnsi="Arial" w:cs="Arial"/>
                      <w:b w:val="0"/>
                      <w:bCs w:val="0"/>
                      <w:color w:val="000000"/>
                      <w:sz w:val="24"/>
                      <w:szCs w:val="24"/>
                      <w:shd w:val="clear" w:color="auto" w:fill="FFFFFF"/>
                    </w:rPr>
                    <w:t>) comprising the Institution of Civil Engineers, Institution of Structural Engineers, Institute of Highway Engineers, the Chartered Institution of Highways and Transportation and the Permanent Way Institution on behalf of the Engineering Council (Accreditation of Higher Education Programmes) for the purposes of fully meeting the academic requirement for registration as a Chartered Engineer (CEng).</w:t>
                  </w:r>
                </w:p>
              </w:tc>
            </w:tr>
          </w:tbl>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Yes, we have approved variants required to meet the new Engineering Council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w:t>
            </w:r>
            <w:hyperlink r:id="rId11" w:tgtFrame="_blank" w:history="1">
              <w:r w:rsidRPr="158602C4">
                <w:rPr>
                  <w:rStyle w:val="normaltextrun"/>
                  <w:rFonts w:ascii="Arial" w:eastAsia="Arial" w:hAnsi="Arial" w:cs="Arial"/>
                  <w:b w:val="0"/>
                  <w:bCs w:val="0"/>
                  <w:color w:val="000000" w:themeColor="text1" w:themeShade="FF" w:themeTint="FF"/>
                  <w:sz w:val="24"/>
                  <w:szCs w:val="24"/>
                </w:rPr>
                <w:t>compensation-and-condonement-policy</w:t>
              </w:r>
            </w:hyperlink>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allow 4 x 15-credit modules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Produce graduates with a detailed advanced knowledge and understanding of construction management practices and procedures relating to the successful delivery construction projects;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Allow graduates to acquire interpersonal, design thinking, system thinking complex problem-solving, business and subject-specific skills and the ability to analyse, evaluate, judge and critically reflect upon issues in the management of construction projects;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furnish graduates with key graduate attributes such as problem-solving, communication, digital competency, adaptability in addition to firmly grasp of sustainability and Health and Safety risk management, professionalism, ethics and inclusion practice principles;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graduates with research and investigative skills and a critical and research-oriented approach to the study of management techniques related to the construction industry, significantly enhancing their career opportunities;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an opportunity to those in full-time employment to study on a part-time basis and to create a unique and dynamic educational environment that seeks to benefit from the practical experience of both mature and part-time students;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Give students with Professional Placement an opportunity to develop and practice skills, acquired knowledge in the workplace.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2"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3"/>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application of digital Technologies, software and tools in the construction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Students opting for a degree with professional placement will additionally be able to:</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Synthesise the experiences of the practical work-based environment to the academic study of Construction and Built Environment</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project management tools and techniques to assess risk and control quality</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Project management tools and techniques including risk, health &amp; safety and quality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critical literature review and, design &amp; develop a programme of independent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Advise on the appropriate procurement route, the evaluation of tender returns and the conversion of an estimate into a tender (MSc Management in Construction and MSc Management in Construction (Civil Engineering) only)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skills including communication, time management, motivation, planning and programming of work, setting of market strategies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originally, creatively and imaginatively to solve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Manage a business, identify problems, needs or challenges and apply the appropriate skills and solutions to maximise profits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application of contract administration and its importance and relevance to both construction contracts and managerial responsibilities in the execution of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Analyse the legal and contractual duties of the various parties to the construction contract, advise and provide recommendations on contractual situations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Financial management practices including budgeting, accounting, project appraisal and cash flow forecasting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areas studied to critical analysis and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Carry out investment appraisals, interpret company accounts, prepare cash flow statements, understand principles of taxation regimes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Procurement strategies, estimating &amp; tendering procedures and controlling cost of projects (MSc Management in Construction and MSc Management in Construction (Civil Engineering)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data collection and synthesise it so as to resolve problems/issues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of digital technologies to support interdisciplinary collaborative working in the construction management process.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4"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105" w:right="6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Management in Construction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Management in Construction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Administration of Construction Contract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Construction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Estimating, Tendering and Procurement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Legal Obligations and Regulatory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of Project Risk, Quality and Safety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Management in Construction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Management in Construction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hyperlink r:id="rId9" w:history="1">
        <w:r w:rsidRPr="2030048C">
          <w:rPr>
            <w:rFonts w:ascii="Arial" w:eastAsia="Arial" w:hAnsi="Arial" w:cs="Arial"/>
            <w:sz w:val="24"/>
            <w:szCs w:val="24"/>
          </w:rPr>
          <w:t>https://www.ciob.org/</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673"/>
        <w:gridCol w:w="350"/>
        <w:gridCol w:w="884"/>
        <w:gridCol w:w="884"/>
        <w:gridCol w:w="884"/>
        <w:gridCol w:w="884"/>
        <w:gridCol w:w="884"/>
        <w:gridCol w:w="884"/>
        <w:gridCol w:w="884"/>
        <w:gridCol w:w="79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CI7900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jbm.org.uk/" TargetMode="External" /><Relationship Id="rId11" Type="http://schemas.openxmlformats.org/officeDocument/2006/relationships/hyperlink" Target="https://www.engc.org.uk/media/3844/compensation-and-condonement-policy-2021.pdf" TargetMode="External" /><Relationship Id="rId12" Type="http://schemas.openxmlformats.org/officeDocument/2006/relationships/hyperlink" Target="https://www.officeforstudents.org.uk/media/53821cbf-5779-4380-bf2a-aa8f5c53ecd4/sector-recognised-standards.pdf%22" TargetMode="External" /><Relationship Id="rId13" Type="http://schemas.openxmlformats.org/officeDocument/2006/relationships/footer" Target="footer1.xml" /><Relationship Id="rId14" Type="http://schemas.openxmlformats.org/officeDocument/2006/relationships/hyperlink" Target="https://www.kingston.ac.uk/aboutkingstonuniversity/howtheuniversityworks/policiesandregulation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ciob.org/"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