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Computer Science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15/05/2025</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Polytechnics Mauritius Limited (PML)</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Computer Science</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UFCSM1CSM10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Polytechnics Mauritius Limited (PML)</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Polytechnics Mauritius Limited (PML)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must meet one of the following entry qualification requirements:</w:t>
                  </w:r>
                  <w:r w:rsidRPr="2030048C">
                    <w:rPr>
                      <w:rStyle w:val="normaltextrun"/>
                      <w:rFonts w:ascii="Arial" w:eastAsia="Arial" w:hAnsi="Arial" w:cs="Arial"/>
                      <w:b w:val="0"/>
                      <w:bCs w:val="0"/>
                      <w:color w:val="000000"/>
                      <w:sz w:val="22"/>
                      <w:szCs w:val="22"/>
                      <w:shd w:val="clear" w:color="auto" w:fill="FFFFFF"/>
                    </w:rPr>
                    <w:t>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Diploma in Information Technology </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Polytechnics Mauritius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Diploma in Information Systems (Business Computing</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Polytechnics Mauritius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Diploma in Emerging Technologies Specialisation in Big Data </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Polytechnics Mauritius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Diploma in Emerging Technologies Specialisation in Internet of Things </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Polytechnics Mauritius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Case by case consideration of equivalent academic and professional qualifications achieved at comparable levels</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minimum overall IELTS score of 6.0 with a minimum of 5.5 each element, iBT TOEFL 80 with R at 20, L at 19, S at 21 and W at 20 or equivalent is required for those for whom English is not their first language.  A minimum of a Credit pass at the G.C.E O/L English Language exam will also be considered as equivalent to this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 will consider a range of alternative qualifications or experience that is equivalent to the typical offer. Applications from international students with equivalent qualifications are welcome.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All applications  will  be  subject  to  the  Kingston  University  Accreditation  of  Prior </w:t>
                  </w:r>
                  <w:r w:rsidRPr="2030048C">
                    <w:rPr>
                      <w:rStyle w:val="normaltextrun"/>
                      <w:rFonts w:ascii="Arial" w:eastAsia="Arial" w:hAnsi="Arial" w:cs="Arial"/>
                      <w:b w:val="0"/>
                      <w:bCs w:val="0"/>
                      <w:color w:val="000000"/>
                      <w:sz w:val="24"/>
                      <w:szCs w:val="24"/>
                      <w:shd w:val="clear" w:color="auto" w:fill="FFFFFF"/>
                    </w:rPr>
                    <w:t>Learning (APL) rules and regulations applicable at the time of application. </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Non-accredited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Compensation of modules:</w:t>
            </w:r>
          </w:p>
          <w:p w:rsidR="5D711985" w:rsidRPr="158602C4" w:rsidP="158602C4">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Compensation is permitted in at most 30 credits across the programme, excluding the CI6600 Individual Project module. A module other that CI6600, with a grade of F5 (35-39) can be compensated for a PC grade by at least 90 credits passed at that level.</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CxSpFirst"/>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over-arching aim of the Computer Science course is to produce highly trained graduates with specialist technical knowledge and scientific mind set, capable of solving real world problems, are driven by passion, sustainability and wider socio-technical implications are considered at all levels. As part of Kingston University’s Future Skills programme, this course also equips students with essential skills such as critical thinking, problem-solving, adaptability, and digital literacy. These future-focused skills ensure graduates are prepared for the evolving demands of the tech industry and can thrive in a rapidly changing professional landscape.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Specifically the aims are to produce graduates who:</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required knowledge, skills and attitudes to practice as computing professionals in both industry and commerce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are equipped to meet the academic, professional and practical requirements for membership of appropriate professional bodies such as the British Computer Society</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are aware of the actual and potential range of information and computer-based systems and of the ways in which these interact with their material, human, organizational and social environments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possess the appropriate ability and inclination, and are equipped, to undertake advanced studies and/or research and development in the computing and information systems disciplines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an inquisitive and reflective attitude when modelling systems and understands the functional and qualitative properties of systems.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ability to evaluate and predict security, performance and efficiency associated system properties and their context dependencies.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understand and can articulate the legal, ethical, social, cultural and public aspects of problems and solutions.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capacity to acquire new knowledge and skills independently; reflect on trends in the computing domain and their actions are demonstrative of a creative contribution.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different project management approaches commonly used in the IT industry and select, modify or construct one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different programming approaches, patterns and/or paradigms, and justify the selection of one or more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specify, design and prototype human/computer interfaces using HCI and UX theory and best practices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different ways in which data and information may be represented, stored and transmitted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elicit, evaluate and model business, customer and user requirements, incorporating considerations such as sociological and commercial contexts, user experience, aesthetics and technical practicalities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implement software solutions using a variety of programming languages, environments and platforms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security issues and evaluate risk for the safe operation of computing and information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abstract and decompose problems to design effective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collaborate and communicate effectively with other professionals/stakeholders to plan, design, manage, implement and deliver IT projects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apply essential concepts, theories, principles and practices of computer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disparate and potentially incomplete sources to model and build systems, documents and other related artefacts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(and, where appropriate, modify) established systems, software development methods, techniques and tools to model and build computer based solutions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social, ethical, legal, commercial and other human factors that affect the design, development, deployment of computer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evaluate the extent to which a system meets the criteria for its current use and future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develop and critically evaluate specifications for specialist computer systems and communicate these specifications to other computing professionals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Data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Cryptography and Network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Internet Services and Protocols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Mobile Application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Programming III – Patterns and Algorithms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Software Development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User Experience Design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Heading2"/>
        <w:ind w:left="570"/>
        <w:outlineLvl w:val="1"/>
        <w:rPr>
          <w:rFonts w:ascii="Arial" w:eastAsia="Arial" w:hAnsi="Arial" w:cs="Arial"/>
          <w:sz w:val="24"/>
          <w:szCs w:val="24"/>
        </w:rPr>
      </w:pPr>
      <w:r w:rsidRPr="2030048C">
        <w:rPr>
          <w:rFonts w:ascii="Arial" w:eastAsia="Arial" w:hAnsi="Arial" w:cs="Arial"/>
          <w:b/>
          <w:bCs/>
          <w:color w:val="2E74B5"/>
          <w:sz w:val="24"/>
          <w:szCs w:val="24"/>
        </w:rPr>
        <w:t>Support for Students and their Learning</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rsidRPr="2030048C" w:rsidP="2030048C">
      <w:pPr>
        <w:ind w:left="285"/>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Learning computer science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 encouraged to develop as independent learners as they progress through their degree course. This is supported explicitly through, for example, the strand of professional skills modules culminating in the individual project in the final year</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b/>
          <w:bCs/>
          <w:sz w:val="24"/>
          <w:szCs w:val="24"/>
        </w:rPr>
        <w:t>Assessment and Feedback</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xml:space="preserve">The assessment is regarded as an integral part of our learning and teaching strategy, and incorporates both assessments of and for learning. Ample opportunities are given to students for formative assessment with rapid feedback.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ind w:left="570"/>
        <w:jc w:val="both"/>
        <w:outlineLvl w:val="2"/>
        <w:rPr>
          <w:rFonts w:ascii="Arial" w:eastAsia="Arial" w:hAnsi="Arial" w:cs="Arial"/>
          <w:sz w:val="24"/>
          <w:szCs w:val="24"/>
        </w:rPr>
      </w:pPr>
      <w:r w:rsidRPr="2030048C">
        <w:rPr>
          <w:rFonts w:ascii="Arial" w:eastAsia="Arial" w:hAnsi="Arial" w:cs="Arial"/>
          <w:b/>
          <w:bCs/>
          <w:color w:val="1F4D78"/>
          <w:sz w:val="24"/>
          <w:szCs w:val="24"/>
        </w:rPr>
        <w:t>Inclusive Teaching Practice</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xml:space="preserve">The teaching practice is guided by the AHE’s (Advance HE) principles for effective practice across subject areas, alongside Kingston University’s Inclusive Curriculum framework. In particular, a collaborative approach which creates a partnership between staff, students, employers and other stakeholders. Opportunities to ensure that the curriculum is inclusive take place at such forums as the Student Voice Committees and School Education Committee meetings,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group-based activities.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Resources are provided on the KU EDI website.</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The 30-credit Capstone Individual Project consolidates independent learning skills and typically provides an opportunity to apply academic knowledge in a practical context, either through the implementation of a solution or the creation of a suitable artefact.</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In the programme as a whole, the following components are used in the assessment of the various modules:</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ListParagraph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Practical exercises: to assess students’ understanding and technical competence</w:t>
      </w:r>
    </w:p>
    <w:p w:rsidRPr="2030048C" w:rsidP="2030048C">
      <w:pPr>
        <w:pStyle w:val="ListParagraph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Individual and group-based case studies: to assess ability to understand requirements, to provide solutions to realistic problems and to interact and work effectively with others as a contributing member of a team. The outcomes can be:</w:t>
      </w:r>
    </w:p>
    <w:p w:rsidRPr="2030048C" w:rsidP="2030048C">
      <w:pPr>
        <w:pStyle w:val="ListParagraph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Written report, where the ability to communicate the relevant concepts, methods, results and conclusions effectively will be assessed.</w:t>
      </w:r>
    </w:p>
    <w:p w:rsidRPr="2030048C" w:rsidP="2030048C">
      <w:pPr>
        <w:pStyle w:val="ListParagraph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Oral presentation, where the ability to summarise accurately and communicate clearly the key points from the work in a brief presentation will be assessed.</w:t>
      </w:r>
    </w:p>
    <w:p w:rsidRPr="2030048C" w:rsidP="2030048C">
      <w:pPr>
        <w:pStyle w:val="ListParagraph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Poster presentation where information and results must be succinct and eye-catching.</w:t>
      </w:r>
    </w:p>
    <w:p w:rsidRPr="2030048C" w:rsidP="2030048C">
      <w:pPr>
        <w:pStyle w:val="ListParagraph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Video, which may replicate features of oral presentations but allows advance preparation away from the audience (which may suit some students better).</w:t>
      </w:r>
    </w:p>
    <w:p w:rsidRPr="2030048C" w:rsidP="2030048C">
      <w:pPr>
        <w:pStyle w:val="ListParagraph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Article emphasising the ability to communicate with different audiences.</w:t>
      </w:r>
    </w:p>
    <w:p w:rsidRPr="2030048C" w:rsidP="2030048C">
      <w:pPr>
        <w:pStyle w:val="ListParagraph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Interview emphasising the ability to answer questions appropriately and relevantly.</w:t>
      </w:r>
    </w:p>
    <w:p w:rsidRPr="2030048C" w:rsidP="2030048C">
      <w:pPr>
        <w:pStyle w:val="ListParagraph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Simulated client interactions: letters, quotations, etc.</w:t>
      </w:r>
    </w:p>
    <w:p w:rsidRPr="2030048C" w:rsidP="2030048C">
      <w:pPr>
        <w:pStyle w:val="ListParagraph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ListParagraph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Multiple choice or short answer questions: to assess competence in basic techniques and understanding of concepts.</w:t>
      </w:r>
    </w:p>
    <w:p w:rsidRPr="2030048C" w:rsidP="2030048C">
      <w:pPr>
        <w:pStyle w:val="ListParagraph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Long answer structured questions in coursework assignments: to assess ability to apply learned techniques to solve simple to medium problems and which may include a limited investigative component</w:t>
      </w:r>
    </w:p>
    <w:p w:rsidRPr="2030048C" w:rsidP="2030048C">
      <w:pPr>
        <w:pStyle w:val="ListParagraph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Long answer structured questions in end-of-module examinations: to assess overall breadth of knowledge and technical competence to provide concise and accurate solutions within restricted time</w:t>
      </w:r>
    </w:p>
    <w:p w:rsidRPr="2030048C" w:rsidP="2030048C">
      <w:pPr>
        <w:pStyle w:val="ListParagraph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7"/>
        <w:gridCol w:w="368"/>
        <w:gridCol w:w="876"/>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paragraph" w:customStyle="1" w:styleId="ListParagraphCxSpFirst">
    <w:name w:val="ListParagraphCxSpFirst"/>
    <w:basedOn w:val="ListParagraph"/>
  </w:style>
  <w:style w:type="paragraph" w:customStyle="1" w:styleId="p">
    <w:name w:val="p"/>
    <w:basedOn w:val="Normal"/>
  </w:style>
  <w:style w:type="paragraph" w:customStyle="1" w:styleId="ListParagraph0">
    <w:name w:val="ListParagraph0"/>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kingston.ac.uk/aboutkingstonuniversity/howtheuniversityworks/policiesandregulation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