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Digital Media Technology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15/05/2025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Networks and Digital Media</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Polytechnics Mauritius Limited (PML)</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Digital Media Technology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Digital Media Technology</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UFDTM1DTM10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Polytechnics Mauritius Limited (PML)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tbl>
            <w:tblPr>
              <w:tblStyle w:val="MsoTableGrid"/>
              <w:tblCellSpacing w:w="15" w:type="dxa"/>
              <w:tblCellMar>
                <w:top w:w="15" w:type="dxa"/>
                <w:left w:w="15" w:type="dxa"/>
                <w:bottom w:w="15" w:type="dxa"/>
                <w:right w:w="15" w:type="dxa"/>
              </w:tblCellMar>
              <w:tblLook w:val="05E0"/>
            </w:tblPr>
            <w:tblGrid>
              <w:gridCol w:w="5674"/>
            </w:tblGrid>
            <w:tr>
              <w:tblPrEx>
                <w:tblLook w:val="05E0"/>
              </w:tblPrEx>
              <w:tc>
                <w:tcPr>
                  <w:noWrap w:val="0"/>
                  <w:tcMar>
                    <w:top w:w="15" w:type="dxa"/>
                    <w:left w:w="15" w:type="dxa"/>
                    <w:bottom w:w="15" w:type="dxa"/>
                    <w:right w:w="15" w:type="dxa"/>
                  </w:tcMar>
                  <w:vAlign w:val="center"/>
                  <w:hideMark/>
                </w:tcPr>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Applicants must meet one of the following entry qualification requirements: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 </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Diploma in Interactive and Digital Media  –</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Polytechnics Mauritius</w:t>
                  </w:r>
                </w:p>
                <w:p w:rsidRPr="2030048C" w:rsidP="2030048C">
                  <w:pPr>
                    <w:numPr>
                      <w:ilvl w:val="0"/>
                      <w:numId w:val="12"/>
                    </w:numPr>
                    <w:ind w:left="720" w:hanging="360"/>
                    <w:jc w:val="left"/>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Case by case consideration of equivalent academic and professional qualifications achieved at comparable levels</w:t>
                  </w:r>
                </w:p>
                <w:p w:rsidRPr="2030048C" w:rsidP="2030048C">
                  <w:pPr>
                    <w:ind w:left="57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A minimum overall IELTS score of 6.0 with a minimum of 5.5 each element, iBT TOEFL 80 with R at 20, L at 19, S at 21 and W at 20 or equivalent is required for those for whom English is not their first language.  A minimum of a Credit pass at the G.C.E O/L English Language exam will also be considered as equivalent to this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We will consider a range of alternative qualifications or experience that is equivalent to the typical offer. Applications from international students with equivalent qualifications are welcome.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All applications  will  be  subject  to  the  Kingston  University  Accreditation  of  Prior </w:t>
                  </w:r>
                  <w:r w:rsidRPr="2030048C">
                    <w:rPr>
                      <w:rStyle w:val="normaltextrun"/>
                      <w:rFonts w:ascii="Arial" w:eastAsia="Arial" w:hAnsi="Arial" w:cs="Arial"/>
                      <w:b w:val="0"/>
                      <w:bCs w:val="0"/>
                      <w:color w:val="000000"/>
                      <w:sz w:val="24"/>
                      <w:szCs w:val="24"/>
                      <w:shd w:val="clear" w:color="auto" w:fill="FFFFFF"/>
                    </w:rPr>
                    <w:t>Learning (APL) rules and regulations applicable at the time of application. </w:t>
                  </w:r>
                </w:p>
              </w:tc>
            </w:tr>
          </w:tbl>
          <w:p w:rsidR="00C447A7" w:rsidRPr="00BF1022" w:rsidP="2030048C" w14:paraId="4B08F2A9"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 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xml:space="preserve">Compensation is permitted in at most 30 credits across programme, excluding the CI6600 Individual Project module. A module other than CI6600 with a grade of F5 (marks 35-39) can be compensated for a PC grade by at least 90 credits passed at that level.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over-arching aim of the course is to produce highly trained graduates to support the development of the digital society with a focus on the Digital Media industry.</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Specifically, the aims are to produce graduates who:</w:t>
      </w:r>
    </w:p>
    <w:p w:rsidRPr="2030048C" w:rsidP="2030048C">
      <w:pPr>
        <w:pStyle w:val="ListParagraph"/>
        <w:ind w:left="57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w:t>
      </w:r>
    </w:p>
    <w:p w:rsidRPr="2030048C" w:rsidP="2030048C">
      <w:pPr>
        <w:pStyle w:val="ListParagraph"/>
        <w:numPr>
          <w:ilvl w:val="0"/>
          <w:numId w:val="13"/>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give students the skills and confidence to produce digital interactive media and graphics products to a professional standard.</w:t>
      </w:r>
    </w:p>
    <w:p w:rsidRPr="2030048C" w:rsidP="2030048C">
      <w:pPr>
        <w:pStyle w:val="ListParagraph"/>
        <w:numPr>
          <w:ilvl w:val="0"/>
          <w:numId w:val="14"/>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produce intellectually adaptable graduates with an appreciation of scientific, computational, technological and creative design methodologies that are receptive to new ideas and change.</w:t>
      </w:r>
    </w:p>
    <w:p w:rsidRPr="2030048C" w:rsidP="2030048C">
      <w:pPr>
        <w:pStyle w:val="ListParagraph"/>
        <w:numPr>
          <w:ilvl w:val="0"/>
          <w:numId w:val="15"/>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produce graduates who have the ability to apply skills from the fields of computing, technology and the arts to solve problems in the field of digital media.</w:t>
      </w:r>
    </w:p>
    <w:p w:rsidRPr="2030048C" w:rsidP="2030048C">
      <w:pPr>
        <w:pStyle w:val="ListParagraph"/>
        <w:numPr>
          <w:ilvl w:val="0"/>
          <w:numId w:val="16"/>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equip students with advanced skills of oral, visual and written communication, problem solving, planning and teamwork.</w:t>
      </w:r>
    </w:p>
    <w:p w:rsidRPr="2030048C" w:rsidP="2030048C">
      <w:pPr>
        <w:pStyle w:val="ListParagraph"/>
        <w:numPr>
          <w:ilvl w:val="0"/>
          <w:numId w:val="17"/>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give a firm foundation of good working practices for the development of 2D and 3D assets and their use in interactive applications</w:t>
      </w:r>
    </w:p>
    <w:p w:rsidRPr="2030048C" w:rsidP="2030048C">
      <w:pPr>
        <w:pStyle w:val="ListParagraph"/>
        <w:numPr>
          <w:ilvl w:val="0"/>
          <w:numId w:val="17"/>
        </w:numPr>
        <w:ind w:left="91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assess the appropriate ability and inclination, and are equipped, to undertake advanced studies and/or research and development in the computing discipline particularly in relation to digital media technology</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digital media based skills used for digital imaging, interactive computing, multimedia or visual effects including 2D or 3D graphics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an interdisciplinary approach to work in multimedia developments through acquiring an understanding of, and intellectual flexibility towards, a range of visual arts, sciences and/or computer based technologies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plan a creative development task relevant to an application in industry that exploits new media/computing technology, to a high level of technical competence</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technical computer based skills for the generation, manipulation and storage of images, sound, data and other artefacts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interpret and critically evaluate information from a variety of sources (including academic literature) including where information is missing or unclear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use appropriate skills and technologies for the development of a creative media work</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how innovative use of technology can be applied to solve design based problems within the fields of interactive multimedia, visual effects and/or computing generally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project management controls and communication skills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how computing as a technology employed by society relates to, and interacts with, other technologies and an awareness of its current, and likely future, role in and effect upon society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issues which arise in the development of digital media assets and applications with regard to legal, social and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design and develop interactive computing and multimedia applications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approach work in digital media development through acquiring and understanding of an intellectually flexibility towards a range of disciplines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and test a creative computer based project to agreed criteria</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Digital Media Technology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Digital Media Technology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 xml:space="preserve"> Individual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CI6600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Visual Effects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CI6001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CI6415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Game and Media Creation Processes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CI6535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User Experience Design Thinking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CI6315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Heading2"/>
        <w:ind w:left="570"/>
        <w:outlineLvl w:val="1"/>
        <w:rPr>
          <w:rFonts w:ascii="Arial" w:eastAsia="Arial" w:hAnsi="Arial" w:cs="Arial"/>
          <w:sz w:val="24"/>
          <w:szCs w:val="24"/>
        </w:rPr>
      </w:pPr>
      <w:r w:rsidRPr="2030048C">
        <w:rPr>
          <w:rFonts w:ascii="Arial" w:eastAsia="Arial" w:hAnsi="Arial" w:cs="Arial"/>
          <w:b/>
          <w:bCs/>
          <w:color w:val="2E74B5"/>
          <w:sz w:val="24"/>
          <w:szCs w:val="24"/>
        </w:rPr>
        <w:t>Support for Students and their Learning</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rsidRPr="2030048C" w:rsidP="2030048C">
      <w:pPr>
        <w:ind w:left="285"/>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Learning Digital Media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develop as independent learners as they progress through their degree course. This is supported explicitly through, for example, the strand of professional skills modules culminating in the individual project in the final year</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b/>
          <w:bCs/>
          <w:sz w:val="24"/>
          <w:szCs w:val="24"/>
        </w:rPr>
        <w:t>Assessment and Feedback</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assessment is regarded as an integral part of our learning and teaching strategy, and incorporates both assessments of and for learning. Ample opportunities are given to students for formative assessment with rapid feedback.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Heading3"/>
        <w:ind w:left="570"/>
        <w:jc w:val="both"/>
        <w:outlineLvl w:val="2"/>
        <w:rPr>
          <w:rFonts w:ascii="Arial" w:eastAsia="Arial" w:hAnsi="Arial" w:cs="Arial"/>
          <w:sz w:val="24"/>
          <w:szCs w:val="24"/>
        </w:rPr>
      </w:pPr>
      <w:r w:rsidRPr="2030048C">
        <w:rPr>
          <w:rFonts w:ascii="Arial" w:eastAsia="Arial" w:hAnsi="Arial" w:cs="Arial"/>
          <w:b/>
          <w:bCs/>
          <w:color w:val="1F4D78"/>
          <w:sz w:val="24"/>
          <w:szCs w:val="24"/>
        </w:rPr>
        <w:t>Inclusive Teaching Practice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The teaching practice is guided by the AHE’s (Advance HE) principles for effective practice across subject areas, alongside Kingston University’s Inclusive Curriculum framework. In particular, a collaborative approach which creates a partnership between staff, students, employers and other stakeholders. Opportunities to ensure that the curriculum is inclusive take place at such forums as the Student Voice Committees and School Education Committee meetings,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Resources are provided on the KU EDI website.</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xml:space="preserve">Feedback, in a variety of formats provides students with guidance in developing skills which are both beneficial for future assessments and highly valued by employers.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The 30-credit Capstone Individual Project consolidates independent learning skills and typically provides an opportunity to apply academic knowledge in a practical context, either through the implementation of a solution or the creation of a suitable artefact.</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In the programme as a whole, the following components are used in the assessment of the various modules:</w:t>
      </w:r>
    </w:p>
    <w:p w:rsidRPr="2030048C" w:rsidP="2030048C">
      <w:pPr>
        <w:pStyle w:val="p"/>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Practical exercises: to assess students’ understanding and technical competence</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Individual and group-based case studies: to assess ability to understand requirements, to provide solutions to realistic problems and to interact and work effectively with others as a contributing member of a team. The outcomes can be:</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Written report, where the ability to communicate the relevant concepts, methods, results and conclusions effectively will be assessed.</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Oral presentation, where the ability to summarise accurately and communicate clearly the key points from the work in a brief presentation will be assessed.</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Poster presentation where information and results must be succinct and eye-catching.</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Video, which may replicate features of oral presentations but allows advance preparation away from the audience (which may suit some students better).</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Article emphasising the ability to communicate with different audiences.</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Interview emphasising the ability to answer questions appropriately and relevantly.</w:t>
      </w:r>
    </w:p>
    <w:p w:rsidRPr="2030048C" w:rsidP="2030048C">
      <w:pPr>
        <w:pStyle w:val="ListParagraph00"/>
        <w:ind w:left="705"/>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Simulated client interactions: letters, quotations, etc.</w:t>
      </w:r>
    </w:p>
    <w:p w:rsidRPr="2030048C" w:rsidP="2030048C">
      <w:pPr>
        <w:pStyle w:val="ListParagraph0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Multiple choice or short answer questions: to assess competence in basic techniques and understanding of concepts.</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coursework assignments: to assess ability to apply learned techniques to solve simple to medium problems and which may include a limited investigative component</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Long answer structured questions in end-of-module examinations: to assess overall breadth of knowledge and technical competence to provide concise and accurate solutions within restricted time</w:t>
      </w:r>
    </w:p>
    <w:p w:rsidRPr="2030048C" w:rsidP="2030048C">
      <w:pPr>
        <w:pStyle w:val="ListParagraph00"/>
        <w:ind w:left="42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2"/>
          <w:szCs w:val="22"/>
        </w:rPr>
        <w:t xml:space="preserve">       </w:t>
      </w:r>
      <w:r w:rsidRPr="2030048C">
        <w:rPr>
          <w:rFonts w:ascii="Arial" w:eastAsia="Arial" w:hAnsi="Arial"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6"/>
        <w:gridCol w:w="367"/>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CI6600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table" w:customStyle="1" w:styleId="MsoTableGrid">
    <w:name w:val="MsoTableGrid"/>
    <w:basedOn w:val="TableNormal"/>
    <w:tblPr/>
  </w:style>
  <w:style w:type="paragraph" w:customStyle="1" w:styleId="ListParagraph0">
    <w:name w:val="ListParagraph"/>
    <w:basedOn w:val="ListParagraph"/>
  </w:style>
  <w:style w:type="paragraph" w:customStyle="1" w:styleId="p">
    <w:name w:val="p"/>
    <w:basedOn w:val="Normal"/>
  </w:style>
  <w:style w:type="paragraph" w:customStyle="1" w:styleId="ListParagraph00">
    <w:name w:val="ListParagraph0"/>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kingston.ac.uk/aboutkingstonuniversity/howtheuniversityworks/policiesandregulation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F768F29B-6C8A-49A0-8897-D03999CAEE0F}">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Craig Blowfield</cp:lastModifiedBy>
  <cp:revision>143</cp:revision>
  <dcterms:created xsi:type="dcterms:W3CDTF">2024-05-22T23:38:00Z</dcterms:created>
  <dcterms:modified xsi:type="dcterms:W3CDTF">2025-08-05T11:34:49Z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