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Adult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Adult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3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Degree Apprenticeship</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employer.In appropriate employment for a minimum of 37.5 hours per week.Where applicable, a ‘Right to Work’ covering the full length of the course and end point assessment (3 years 9 months).At the point of entry onto the course, applicants for the apprenticeship route must be employed within a health or care setting where they can be appropriately supervised by a registered nurse or other appropriate registered health or social care professional.All applicants who meet the minimum requirements are required to attend a selection day which includes a values- based interview (multiple mini interviews) and an informal assessment of the applicant’s current digital literacy skills which will provide a baseline from which to develop capability in digital and technological literacy during the programme.As part of the admissions process applicants will be asked to complete an Initial Needs Assessment to confirm whether they have undertaken previous certificated learning that repeats learning offered by the Registered Nurse Degree. This declaration is a requirement for all apprenticeship applicants, as duplication of learning or assessment previously undertaken is not eligible for apprenticeship funding under the Education and Skills Funding Agency rules (ESFA, 2018).</w:t>
            </w: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BodyText"/>
        <w:widowControl w:val="0"/>
        <w:spacing w:before="8" w:after="0" w:line="238" w:lineRule="auto"/>
        <w:ind w:left="220" w:right="725"/>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programme will prepare apprentices to meet the Nursing and Midwifery Council’s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i/>
          <w:iCs/>
          <w:color w:val="000000" w:themeColor="text1"/>
          <w:sz w:val="22"/>
          <w:szCs w:val="22"/>
          <w:shd w:val="clear" w:color="auto" w:fill="FFFFFF"/>
        </w:rPr>
        <w:t xml:space="preserve">Standards for Registered Nurses </w:t>
      </w:r>
      <w:r w:rsidRPr="2030048C">
        <w:rPr>
          <w:rStyle w:val="normaltextrun"/>
          <w:rFonts w:ascii="Arial" w:eastAsia="Arial" w:hAnsi="Arial" w:cs="Arial"/>
          <w:color w:val="000000" w:themeColor="text1"/>
          <w:sz w:val="22"/>
          <w:szCs w:val="22"/>
          <w:shd w:val="clear" w:color="auto" w:fill="FFFFFF"/>
        </w:rPr>
        <w:t>(2018) and the European Directive 2005/36/EU (EU</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legislation for adult field of nursing practice) which will enable them to apply for entry to the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NMC Register as a Registered Nurse in the field of Adult Nursing. In addition, they will meet</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the knowledge, skills and behaviours (KSBs) which are set out in the </w:t>
      </w:r>
      <w:r w:rsidRPr="2030048C">
        <w:rPr>
          <w:rStyle w:val="normaltextrun"/>
          <w:rFonts w:ascii="Arial" w:eastAsia="Arial" w:hAnsi="Arial" w:cs="Arial"/>
          <w:i/>
          <w:iCs/>
          <w:color w:val="000000" w:themeColor="text1"/>
          <w:sz w:val="22"/>
          <w:szCs w:val="22"/>
          <w:shd w:val="clear" w:color="auto" w:fill="FFFFFF"/>
        </w:rPr>
        <w:t>Registered Nurse</w:t>
      </w:r>
      <w:r w:rsidRPr="2030048C">
        <w:rPr>
          <w:rStyle w:val="normaltextrun"/>
          <w:rFonts w:ascii="Arial" w:eastAsia="Arial" w:hAnsi="Arial" w:cs="Arial"/>
          <w:i/>
          <w:iCs/>
          <w:color w:val="000000" w:themeColor="text1"/>
          <w:spacing w:val="1"/>
          <w:sz w:val="22"/>
          <w:szCs w:val="22"/>
          <w:shd w:val="clear" w:color="auto" w:fill="FFFFFF"/>
        </w:rPr>
        <w:t xml:space="preserve"> </w:t>
      </w:r>
      <w:r w:rsidRPr="2030048C">
        <w:rPr>
          <w:rStyle w:val="normaltextrun"/>
          <w:rFonts w:ascii="Arial" w:eastAsia="Arial" w:hAnsi="Arial" w:cs="Arial"/>
          <w:i/>
          <w:iCs/>
          <w:color w:val="000000" w:themeColor="text1"/>
          <w:sz w:val="22"/>
          <w:szCs w:val="22"/>
          <w:shd w:val="clear" w:color="auto" w:fill="FFFFFF"/>
        </w:rPr>
        <w:t xml:space="preserve">Degree (NMC, 2018) </w:t>
      </w:r>
      <w:r w:rsidRPr="2030048C">
        <w:rPr>
          <w:rStyle w:val="normaltextrun"/>
          <w:rFonts w:ascii="Arial" w:eastAsia="Arial" w:hAnsi="Arial" w:cs="Arial"/>
          <w:color w:val="000000" w:themeColor="text1"/>
          <w:sz w:val="22"/>
          <w:szCs w:val="22"/>
          <w:shd w:val="clear" w:color="auto" w:fill="FFFFFF"/>
        </w:rPr>
        <w:t>Apprenticeship Standard which are mapped against specific domains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taken from the NMC platforms for registered nurses and enable them to demonstrate the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occupational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competence expected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of</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registered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nurse.</w:t>
      </w:r>
    </w:p>
    <w:p w:rsidRPr="2030048C" w:rsidP="2030048C">
      <w:pPr>
        <w:pStyle w:val="p"/>
        <w:widowControl w:val="0"/>
        <w:spacing w:before="0" w:after="0" w:line="238" w:lineRule="auto"/>
        <w:ind w:left="0" w:right="0"/>
        <w:rPr>
          <w:rStyle w:val="normaltextrun"/>
          <w:rFonts w:ascii="Arial" w:eastAsia="Arial" w:hAnsi="Arial" w:cs="Arial"/>
          <w:color w:val="000000" w:themeColor="text1"/>
          <w:sz w:val="22"/>
          <w:szCs w:val="22"/>
          <w:shd w:val="clear" w:color="auto" w:fill="FFFFFF"/>
        </w:rPr>
      </w:pPr>
    </w:p>
    <w:p w:rsidRPr="2030048C" w:rsidP="2030048C">
      <w:pPr>
        <w:pStyle w:val="Heading2"/>
        <w:widowControl w:val="0"/>
        <w:spacing w:before="82" w:after="0"/>
        <w:ind w:left="220" w:right="0"/>
        <w:jc w:val="both"/>
        <w:outlineLvl w:val="1"/>
        <w:rPr>
          <w:rStyle w:val="normaltextrun"/>
          <w:rFonts w:ascii="Arial" w:eastAsia="Arial" w:hAnsi="Arial" w:cs="Arial"/>
          <w:b/>
          <w:bCs/>
          <w:color w:val="000000" w:themeColor="text1"/>
          <w:sz w:val="22"/>
          <w:szCs w:val="22"/>
          <w:shd w:val="clear" w:color="auto" w:fill="FFFFFF"/>
        </w:rPr>
      </w:pPr>
      <w:bookmarkStart w:id="0" w:name="The_Programme_Aims_to_"/>
      <w:bookmarkEnd w:id="0"/>
      <w:r w:rsidRPr="2030048C">
        <w:rPr>
          <w:rStyle w:val="normaltextrun"/>
          <w:rFonts w:ascii="Arial" w:eastAsia="Arial" w:hAnsi="Arial" w:cs="Arial"/>
          <w:b/>
          <w:bCs/>
          <w:color w:val="000000" w:themeColor="text1"/>
          <w:sz w:val="22"/>
          <w:szCs w:val="22"/>
          <w:shd w:val="clear" w:color="auto" w:fill="FFFFFF"/>
        </w:rPr>
        <w:t>The</w:t>
      </w:r>
      <w:r w:rsidRPr="2030048C">
        <w:rPr>
          <w:rStyle w:val="normaltextrun"/>
          <w:rFonts w:ascii="Arial" w:eastAsia="Arial" w:hAnsi="Arial" w:cs="Arial"/>
          <w:b/>
          <w:bCs/>
          <w:color w:val="000000" w:themeColor="text1"/>
          <w:spacing w:val="-3"/>
          <w:sz w:val="22"/>
          <w:szCs w:val="22"/>
          <w:shd w:val="clear" w:color="auto" w:fill="FFFFFF"/>
        </w:rPr>
        <w:t xml:space="preserve"> </w:t>
      </w:r>
      <w:r w:rsidRPr="2030048C">
        <w:rPr>
          <w:rStyle w:val="normaltextrun"/>
          <w:rFonts w:ascii="Arial" w:eastAsia="Arial" w:hAnsi="Arial" w:cs="Arial"/>
          <w:b/>
          <w:bCs/>
          <w:color w:val="000000" w:themeColor="text1"/>
          <w:sz w:val="22"/>
          <w:szCs w:val="22"/>
          <w:shd w:val="clear" w:color="auto" w:fill="FFFFFF"/>
        </w:rPr>
        <w:t>Programme</w:t>
      </w:r>
      <w:r w:rsidRPr="2030048C">
        <w:rPr>
          <w:rStyle w:val="normaltextrun"/>
          <w:rFonts w:ascii="Arial" w:eastAsia="Arial" w:hAnsi="Arial" w:cs="Arial"/>
          <w:b/>
          <w:bCs/>
          <w:color w:val="000000" w:themeColor="text1"/>
          <w:spacing w:val="-3"/>
          <w:sz w:val="22"/>
          <w:szCs w:val="22"/>
          <w:shd w:val="clear" w:color="auto" w:fill="FFFFFF"/>
        </w:rPr>
        <w:t xml:space="preserve"> </w:t>
      </w:r>
      <w:r w:rsidRPr="2030048C">
        <w:rPr>
          <w:rStyle w:val="normaltextrun"/>
          <w:rFonts w:ascii="Arial" w:eastAsia="Arial" w:hAnsi="Arial" w:cs="Arial"/>
          <w:b/>
          <w:bCs/>
          <w:color w:val="000000" w:themeColor="text1"/>
          <w:sz w:val="22"/>
          <w:szCs w:val="22"/>
          <w:shd w:val="clear" w:color="auto" w:fill="FFFFFF"/>
        </w:rPr>
        <w:t>Aims</w:t>
      </w:r>
      <w:r w:rsidRPr="2030048C">
        <w:rPr>
          <w:rStyle w:val="normaltextrun"/>
          <w:rFonts w:ascii="Arial" w:eastAsia="Arial" w:hAnsi="Arial" w:cs="Arial"/>
          <w:b/>
          <w:bCs/>
          <w:color w:val="000000" w:themeColor="text1"/>
          <w:spacing w:val="-3"/>
          <w:sz w:val="22"/>
          <w:szCs w:val="22"/>
          <w:shd w:val="clear" w:color="auto" w:fill="FFFFFF"/>
        </w:rPr>
        <w:t xml:space="preserve"> </w:t>
      </w:r>
      <w:r w:rsidRPr="2030048C">
        <w:rPr>
          <w:rStyle w:val="normaltextrun"/>
          <w:rFonts w:ascii="Arial" w:eastAsia="Arial" w:hAnsi="Arial" w:cs="Arial"/>
          <w:b/>
          <w:bCs/>
          <w:color w:val="000000" w:themeColor="text1"/>
          <w:sz w:val="22"/>
          <w:szCs w:val="22"/>
          <w:shd w:val="clear" w:color="auto" w:fill="FFFFFF"/>
        </w:rPr>
        <w:t>to:</w:t>
      </w:r>
    </w:p>
    <w:p w:rsidRPr="2030048C" w:rsidP="2030048C">
      <w:pPr>
        <w:pStyle w:val="BodyText"/>
        <w:widowControl w:val="0"/>
        <w:spacing w:before="5" w:after="0"/>
        <w:ind w:left="0" w:right="0"/>
        <w:rPr>
          <w:rStyle w:val="normaltextrun"/>
          <w:rFonts w:ascii="Arial" w:eastAsia="Arial" w:hAnsi="Arial" w:cs="Arial"/>
          <w:b/>
          <w:bCs/>
          <w:color w:val="000000" w:themeColor="text1"/>
          <w:sz w:val="22"/>
          <w:szCs w:val="22"/>
          <w:shd w:val="clear" w:color="auto" w:fill="FFFFFF"/>
        </w:rPr>
      </w:pPr>
    </w:p>
    <w:p w:rsidRPr="2030048C" w:rsidP="2030048C">
      <w:pPr>
        <w:pStyle w:val="ListParagraph0"/>
        <w:widowControl w:val="0"/>
        <w:numPr>
          <w:ilvl w:val="0"/>
          <w:numId w:val="13"/>
        </w:numPr>
        <w:tabs>
          <w:tab w:val="left" w:pos="580"/>
        </w:tabs>
        <w:spacing w:before="0" w:after="0"/>
        <w:ind w:left="647" w:right="1107" w:hanging="430"/>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contemporary, evidence-based nursing education which meets the needs of</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apprentices, service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users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local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health</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social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r w:rsidRPr="2030048C">
        <w:rPr>
          <w:rStyle w:val="normaltextrun"/>
          <w:rFonts w:ascii="Arial" w:eastAsia="Arial" w:hAnsi="Arial" w:cs="Arial"/>
          <w:color w:val="000000" w:themeColor="text1"/>
          <w:spacing w:val="-7"/>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employers.</w:t>
      </w:r>
    </w:p>
    <w:p w:rsidRPr="2030048C" w:rsidP="2030048C">
      <w:pPr>
        <w:pStyle w:val="ListParagraph0"/>
        <w:widowControl w:val="0"/>
        <w:numPr>
          <w:ilvl w:val="0"/>
          <w:numId w:val="13"/>
        </w:numPr>
        <w:tabs>
          <w:tab w:val="left" w:pos="580"/>
        </w:tabs>
        <w:spacing w:before="0" w:after="0"/>
        <w:ind w:left="647" w:right="838" w:hanging="430"/>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accountable, safe, compassionate and resilient practitioners who demonstrate</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professional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attitudes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behaviours consistent</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with</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NMC</w:t>
      </w:r>
      <w:r w:rsidRPr="2030048C">
        <w:rPr>
          <w:rStyle w:val="normaltextrun"/>
          <w:rFonts w:ascii="Arial" w:eastAsia="Arial" w:hAnsi="Arial" w:cs="Arial"/>
          <w:color w:val="000000" w:themeColor="text1"/>
          <w:spacing w:val="-5"/>
          <w:sz w:val="22"/>
          <w:szCs w:val="22"/>
          <w:shd w:val="clear" w:color="auto" w:fill="FFFFFF"/>
        </w:rPr>
        <w:t xml:space="preserve"> </w:t>
      </w:r>
      <w:r w:rsidRPr="2030048C">
        <w:rPr>
          <w:rStyle w:val="normaltextrun"/>
          <w:rFonts w:ascii="Arial" w:eastAsia="Arial" w:hAnsi="Arial" w:cs="Arial"/>
          <w:i/>
          <w:iCs/>
          <w:color w:val="000000" w:themeColor="text1"/>
          <w:sz w:val="22"/>
          <w:szCs w:val="22"/>
          <w:shd w:val="clear" w:color="auto" w:fill="FFFFFF"/>
        </w:rPr>
        <w:t>Code.</w:t>
      </w:r>
    </w:p>
    <w:p w:rsidRPr="2030048C" w:rsidP="2030048C">
      <w:pPr>
        <w:pStyle w:val="ListParagraph0"/>
        <w:widowControl w:val="0"/>
        <w:numPr>
          <w:ilvl w:val="0"/>
          <w:numId w:val="13"/>
        </w:numPr>
        <w:pBdr>
          <w:left w:val="none" w:sz="0" w:space="11" w:color="auto"/>
        </w:pBdr>
        <w:spacing w:before="0" w:after="0"/>
        <w:ind w:left="647" w:right="615"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apprentices with a range of learning opportunities to enable the development of</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nursing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practice</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skills</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including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assessing,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planning,</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leading</w:t>
      </w:r>
      <w:r w:rsidRPr="2030048C">
        <w:rPr>
          <w:rStyle w:val="normaltextrun"/>
          <w:rFonts w:ascii="Arial" w:eastAsia="Arial" w:hAnsi="Arial" w:cs="Arial"/>
          <w:color w:val="000000" w:themeColor="text1"/>
          <w:spacing w:val="1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coordinating</w:t>
      </w:r>
      <w:r w:rsidRPr="2030048C">
        <w:rPr>
          <w:rStyle w:val="normaltextrun"/>
          <w:rFonts w:ascii="Arial" w:eastAsia="Arial" w:hAnsi="Arial" w:cs="Arial"/>
          <w:color w:val="000000" w:themeColor="text1"/>
          <w:spacing w:val="1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r w:rsidRPr="2030048C">
        <w:rPr>
          <w:rStyle w:val="normaltextrun"/>
          <w:rFonts w:ascii="Arial" w:eastAsia="Arial" w:hAnsi="Arial" w:cs="Arial"/>
          <w:color w:val="000000" w:themeColor="text1"/>
          <w:spacing w:val="1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that</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is compassionate,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evidence-based,</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4"/>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person-centred;</w:t>
      </w:r>
    </w:p>
    <w:p w:rsidRPr="2030048C" w:rsidP="2030048C">
      <w:pPr>
        <w:pStyle w:val="ListParagraph0"/>
        <w:widowControl w:val="0"/>
        <w:numPr>
          <w:ilvl w:val="0"/>
          <w:numId w:val="13"/>
        </w:numPr>
        <w:pBdr>
          <w:left w:val="none" w:sz="0" w:space="11" w:color="auto"/>
        </w:pBdr>
        <w:spacing w:before="0" w:after="0" w:line="238" w:lineRule="auto"/>
        <w:ind w:left="647" w:right="845"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Enable apprentices to identify and critically appraise secondary and primary sources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as a</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basis</w:t>
      </w:r>
      <w:r w:rsidRPr="2030048C">
        <w:rPr>
          <w:rStyle w:val="normaltextrun"/>
          <w:rFonts w:ascii="Arial" w:eastAsia="Arial" w:hAnsi="Arial" w:cs="Arial"/>
          <w:color w:val="000000" w:themeColor="text1"/>
          <w:spacing w:val="-4"/>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for</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independent</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study</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 evidence-based</w:t>
      </w:r>
      <w:r w:rsidRPr="2030048C">
        <w:rPr>
          <w:rStyle w:val="normaltextrun"/>
          <w:rFonts w:ascii="Arial" w:eastAsia="Arial" w:hAnsi="Arial" w:cs="Arial"/>
          <w:color w:val="000000" w:themeColor="text1"/>
          <w:spacing w:val="-7"/>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practice</w:t>
      </w:r>
    </w:p>
    <w:p w:rsidRPr="2030048C" w:rsidP="2030048C">
      <w:pPr>
        <w:pStyle w:val="ListParagraph0"/>
        <w:widowControl w:val="0"/>
        <w:numPr>
          <w:ilvl w:val="0"/>
          <w:numId w:val="13"/>
        </w:numPr>
        <w:pBdr>
          <w:left w:val="none" w:sz="0" w:space="11" w:color="auto"/>
        </w:pBdr>
        <w:spacing w:before="0" w:after="0"/>
        <w:ind w:left="647" w:right="616"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Prepare graduate apprentices for employment in nursing, research, further study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lifelong learning or further by developing their intellectual, problem solving, practical 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key</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(transferable) </w:t>
      </w:r>
      <w:r w:rsidRPr="2030048C">
        <w:rPr>
          <w:rStyle w:val="normaltextrun"/>
          <w:rFonts w:ascii="Arial" w:eastAsia="Arial" w:hAnsi="Arial" w:cs="Arial"/>
          <w:color w:val="000000" w:themeColor="text1"/>
          <w:sz w:val="22"/>
          <w:szCs w:val="22"/>
          <w:shd w:val="clear" w:color="auto" w:fill="FFFFFF"/>
        </w:rPr>
        <w:t>skills;</w:t>
      </w:r>
    </w:p>
    <w:p w:rsidRPr="2030048C" w:rsidP="2030048C">
      <w:pPr>
        <w:pStyle w:val="ListParagraph0"/>
        <w:widowControl w:val="0"/>
        <w:numPr>
          <w:ilvl w:val="0"/>
          <w:numId w:val="13"/>
        </w:numPr>
        <w:pBdr>
          <w:left w:val="none" w:sz="0" w:space="11" w:color="auto"/>
        </w:pBdr>
        <w:spacing w:before="0" w:after="0"/>
        <w:ind w:left="648" w:right="611"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Foster in apprentices the value and benefits of collaborative working with service-users,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carers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health</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and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social</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professionals,</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order</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to</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achieve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optimum</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individualised</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person-centred</w:t>
      </w:r>
      <w:r w:rsidRPr="2030048C">
        <w:rPr>
          <w:rStyle w:val="normaltextrun"/>
          <w:rFonts w:ascii="Arial" w:eastAsia="Arial" w:hAnsi="Arial" w:cs="Arial"/>
          <w:color w:val="000000" w:themeColor="text1"/>
          <w:spacing w:val="-4"/>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care</w:t>
      </w:r>
    </w:p>
    <w:p w:rsidRPr="2030048C" w:rsidP="2030048C">
      <w:pPr>
        <w:pStyle w:val="ListParagraph0"/>
        <w:widowControl w:val="0"/>
        <w:numPr>
          <w:ilvl w:val="0"/>
          <w:numId w:val="13"/>
        </w:numPr>
        <w:pBdr>
          <w:left w:val="none" w:sz="0" w:space="11" w:color="auto"/>
        </w:pBdr>
        <w:spacing w:before="0" w:after="0" w:line="238" w:lineRule="auto"/>
        <w:ind w:left="648" w:right="618" w:hanging="590"/>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the apprentice’s knowledge and skills to enable autonomous nursing practice at</w:t>
      </w:r>
      <w:r w:rsidRPr="2030048C">
        <w:rPr>
          <w:rStyle w:val="normaltextrun"/>
          <w:rFonts w:ascii="Arial" w:eastAsia="Arial" w:hAnsi="Arial" w:cs="Arial"/>
          <w:color w:val="000000" w:themeColor="text1"/>
          <w:spacing w:val="-59"/>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point</w:t>
      </w:r>
      <w:r w:rsidRPr="2030048C">
        <w:rPr>
          <w:rStyle w:val="normaltextrun"/>
          <w:rFonts w:ascii="Arial" w:eastAsia="Arial" w:hAnsi="Arial" w:cs="Arial"/>
          <w:color w:val="000000" w:themeColor="text1"/>
          <w:spacing w:val="-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of</w:t>
      </w:r>
      <w:r w:rsidRPr="2030048C">
        <w:rPr>
          <w:rStyle w:val="normaltextrun"/>
          <w:rFonts w:ascii="Arial" w:eastAsia="Arial" w:hAnsi="Arial" w:cs="Arial"/>
          <w:color w:val="000000" w:themeColor="text1"/>
          <w:spacing w:val="2"/>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adult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the professional attributes and values of an accountable, reflective, adaptable, compassionate, skilled and confident adult registrant, with the ability to apply professional, ethical and legal frameworks to deliver evidence-based practice in health and social care settings. (BAP)</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 on clinical experience to make evidence informed decisions across all areas of their practice as an adult nurse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adults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Recognise and respond appropriately to complex and unpredictable situations in day-to-day adult nursing practice, demonstrating technical competence and expertise. (L,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Coordinate, lead and manage the complex nursing and integrated care needs of people through partnership, collaboration and interagency working. (CC, L)</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adult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Assess, manage and report risks to ensure the safety of people and contribute to quality improvement strategies to bring about enhancements in care (S&amp;Q,CC)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adult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 partnership with people, families and carers to assess needs, identify goals and plan person-centred, evidence-based interventions; evaluating their effectiveness in meeting the individuals’ wishes, preferences and desired outcomes. (APC,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strategies to promote and protect health and prevent ill health in order to improve health outcomes and reduce health inequalities (HP,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programme is offered as an apprenticeship through block release. Apprentices will undertake blocks of theory totalling a minimum of 2300 hours and blocks of practice totalling a minimum of 2300 hours during which they are supernumerary. This will be completed over 3 years and 9 months. Apprentices will also have blocks in each year where they return to their employer. The End Point Assessment takes place at the end of the programme through the final assessment board and upload of the details of the apprentice to the NMC portal for to enable them to register with the NMC. Whilst delivered over 3 years and 9 months the programme is divided into 3 parts. Part 1 = level 4, Part 2 = level 5, Part 3 = level 6 with progression at the end of each part.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Adult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adult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NA4200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90 credits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Adult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The Practice Assessment Module must be passed by the end of the first placement of 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all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meeting the Nursing and Midwifery Council practice requirements, but have successfully completed 120 credits at level 6, are eligible for the award of BSc Health and Wellbeing, but will not be eligible to register with the Nursing and Midwifery Council.</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a BSc (Hons) Adult Nursing AND be eligible to register with the Nursing and Midwifery Council (NMC) students must have completed and passed all modules (120 credits at levels 4, 5 and 6) and course requirements and have completed a minimum of 2300 hours of theory and 2300 hours of practice and have met the (NMC) requirements for Good Health and Good Character, and have completed the End Point Assessment for the Registered Nurse Degree (NMC 2018)  Apprenticeship Standard (ST0781).</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essential that students meet the NMC and programme requirements for a minimum of 2300 hours of theory and 2300 hours of practice to meet NMC requirements to register as a Registered Nurse. As a student on an apprenticeship programme all learning (theory and practice) must be supernumerary, and these hours are recorded by the apprentice within their learning log and practice documents. Full attendance is therefore required on the programme including for all practice placements. A record of student hours of attendance in practice are maintained by the university, and these are monitored along with the learning logs by the Course Leader.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employer agreement and placement availability. There may also be cases of repeated non-attendance at placement where the Student Attendance Policy (AP15) is invoked and a decision is made to withdraw the student from the programme due to non-engagement with practice. Students who have leave of any type in excess of 4 weeks over the course of the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End Point Assessment (EPA) for the Registered Nurse Degree (NMC 2018)  Apprenticeship is fully integrated. Apprentices who have passed all of their modules on the programme, completed 2300 hours of theory and 2300 hours of practice and have evidence of good health and good character will have achieved the requirements to be awarded a BSc (Hons) award. In order to meet the gateway requirements for the EPA they will also need to have evidence of achievement of English and mathematics at Level 2 and confirmation by their employer that they are consistently meeting the KSBs of the occupational standard. The EPA starts with the final programme assessment board where their award is ratified, and finishes when the apprentice is uploaded to the NMC to register their award.</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Nursing Degree Apprenticeship is offered as a full-time apprenticeship. The programme has been designed in partnership with local NHS employers and representatives from the independent and voluntary sectors, ensuring currency and relevance to the workplace. It provides an integrated programme of university-based, workplace learning and placements where the apprentice is supernumerary, which will develop the skills and knowledge required by registered nurses to deliver person-centred care. This apprenticeship has an integrated End Point Assessment. Apprentices who have passed all their modules on the programme and completed 2300 hours of theory and 2300 hours of practice and have evidence of good health and good conduct will have achieved the requirements to be awarded a BSc (honours) award and be recommended to the NMC for registration. The End Point Assessment consists of:</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Confirmation they have met course requirements for the award at the Programme Assessment Board (PAB), followed by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upload of their details to the NMC database including confirmation of good health and good character which will enable them to register with the NMC.</w:t>
      </w:r>
    </w:p>
    <w:p w:rsidRPr="2030048C" w:rsidP="2030048C">
      <w:pPr>
        <w:rPr>
          <w:rFonts w:ascii="Arial" w:eastAsia="Arial" w:hAnsi="Arial" w:cs="Arial"/>
          <w:sz w:val="24"/>
          <w:szCs w:val="24"/>
        </w:rPr>
      </w:pPr>
      <w:r w:rsidRPr="2030048C">
        <w:rPr>
          <w:rFonts w:ascii="Arial" w:eastAsia="Arial" w:hAnsi="Arial" w:cs="Arial"/>
          <w:sz w:val="24"/>
          <w:szCs w:val="24"/>
        </w:rPr>
        <w:t>Due to the NMC requirement for a minimum of 2300 hours of practice which is supernumerary and 2300 hours of theory the apprentice in the apprenticeship programme meets the Education and Skills Funding Agency minimum requirement for 20% off the job training.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programme is also designed to meet the principles outlined in the Kingston University Revised Academic Framework. Practice placements are integrated across each year of the programme and in order to meet the Nursing and Midwifery Council programme standards, EU Directive 2005/36/EC and Apprenticeship Standard requirements programme delivery is across three years nine months including the End Point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is designed as a continuous process where theory and practice are interlinked and inform each other with an equal balance of theory and practice. Apprentices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apprentice development. Together these provide a framework within which apprentices will learn and practise.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Whilst the programme leads to registration as an adult nurse it is an NMC requirement that apprentices gain an understanding of the needs of people across the lifespan and across all care settings. The people they will meet will often have complex mental, physical, cognitive and behavioural needs and come from all ages, backgrounds and cultures. To meet these diverse needs the apprentice will study modules which are specific to their field as well as generic modules which also consider cross-field issues and undertake outreach and out of field placement experiences to gain experience in working with and caring for people across the lifespan and across fields.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Modules are organised in a staged approach throughout each academic year to maximise opportunities for the integration of theory and practice and to ensure a manageable apprentice workload. Part 1 of the programme develops a broad understanding of nursing knowledge to underpin practice and enables the apprentice to provide reasoned explanations of relevant issues. Part 2 promotes a more detailed understanding of the subject matter covered in Part 1 with a greater focus on field specific learning, developing theories and concepts to enable apprentices to provide substantiated arguments relating to relevant issues. Part 3 prepares apprentices for their role in providing, leading and coordinating evidence-based care with a focus on improving the safety and quality of the care they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integration of theory and practice is achieved through learning, teaching and assessment strategies which require apprentices to reflect on their experiences in practice. Nursing knowledge and evidence is applied to these experiences, with an increasing depth of discussion and critical analysis as apprentices progress through the academic levels.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Inclusivity bridges curriculum design and the assessment strategy to ensure that apprentices are not unduly advantaged or disadvantaged due to their prior, or lack of prior, clinical experience/learning. Our apprentices come from diverse backgrounds with different learning styles and educational experiences. This diversity is valued as it not only enriches the learning for all apprentices but reflects the diversity of the people they will care for in the real world of practice.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Service user, employer and apprentice input to programme design and delivery</w:t>
      </w:r>
    </w:p>
    <w:p w:rsidRPr="2030048C" w:rsidP="2030048C">
      <w:pPr>
        <w:rPr>
          <w:rFonts w:ascii="Arial" w:eastAsia="Arial" w:hAnsi="Arial" w:cs="Arial"/>
          <w:sz w:val="24"/>
          <w:szCs w:val="24"/>
        </w:rPr>
      </w:pPr>
      <w:r w:rsidRPr="2030048C">
        <w:rPr>
          <w:rFonts w:ascii="Arial" w:eastAsia="Arial" w:hAnsi="Arial" w:cs="Arial"/>
          <w:sz w:val="24"/>
          <w:szCs w:val="24"/>
        </w:rPr>
        <w:t>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Apprentices also learn from, and with, service users through initiatives such as the ‘Baked Bean Company’ and the ‘Recovery College’. Apprentices also receive feedback from service users in practice as part of the practice assessment process.</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Teaching and Learning</w:t>
      </w:r>
    </w:p>
    <w:p w:rsidRPr="2030048C" w:rsidP="2030048C">
      <w:pPr>
        <w:rPr>
          <w:rFonts w:ascii="Arial" w:eastAsia="Arial" w:hAnsi="Arial" w:cs="Arial"/>
          <w:sz w:val="24"/>
          <w:szCs w:val="24"/>
        </w:rPr>
      </w:pPr>
      <w:r w:rsidRPr="2030048C">
        <w:rPr>
          <w:rFonts w:ascii="Arial" w:eastAsia="Arial" w:hAnsi="Arial" w:cs="Arial"/>
          <w:sz w:val="24"/>
          <w:szCs w:val="24"/>
        </w:rPr>
        <w:t>Teaching and learning is delivered through the integration of a variety of face-to-face sessions in small and large groups, lectures, conferences, seminars, group work, problem- based learning, clinical skills and simulated learning. Technology is used to enhance and support learning. Canvas a virtual learning environment (VLE) is utilised to provide apprentices with information about the programme, modules and teaching /learning materials and enables virtual discussions on topics to take place or apprentices to collaborate on learning activities. Those with mobile devices, such as Smart Phones can download the Canvas App and E-learning resources (e.g. nursing textbooks) are made available to apprentices via the VLE and learning resources centre, to enable flexible apprentice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Since the Covid-19 pandemic the university and programme team have further developed on-line delivery of our modules and the learning from this will be used to inform future development of our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integration of theory and practice is achieved through learning, teaching and assessment strategies which require apprentices to reflect on their experiences in practice. Nursing knowledge and evidence is applied to these experiences, with an increasing depth of discussion and analysis as apprentices’ progress through the academic levels. Furthermore, a wide variety of practice partners, service users, carers and other professional colleagues contribute to the delivery of the programme within the classroom.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 Informed Teaching is delivered in a number of ways to ensure apprentices achieve the appropriate academic skills and engage with evidence-based practice (EBP). Newell and Burnard’s (2011) 5 stages of EBP inform the development of these skills within curriculum: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Asking answerable questions from practice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Find the best available evidence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Appraising the evidence for validity and applicability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Applying the results of appraisal to clinical practice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Evaluate the effect of applying the evidence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 informed teaching is delivered through the integration of the significant body of research generated through the Faculty professors, visiting professors, doctoral staff and apprentices and the interprofessional course team. This approach supports apprentices to consolidate their learning and develop an enquiry-based approach to learning. In addition, a range of strategies are used to encourage and develop our apprentices as researchers, e.g. working with academics on SADRAS (Student Academic Development Research Associate Scheme) to research an area of educational research focused on enhancing the academic experience of under-represented groups of students/apprentices at the University, publishing assignments, presenting their elective experience to peers and presenting poster assignments to practice colleagues.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benefit from a wide range of Interprofessional Learning (IPL) opportunities during the programme. The primary opportunity for IPL is during clinical placements where apprentices learn from, and with, a range of health and social care students and/or apprentices and professionals. Furthermore, a number of learning activities are undertaken within practice, the classroom and within the Clinical Skills and Simulation Suite with different professional groups including physiotherapy, midwifery, pharmacy, social work and paramedics.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Critical thinking skills are recognised as being essential both for academic achievement and future professional employment. These are developed through the ‘Critical Thinking Skills</w:t>
      </w:r>
    </w:p>
    <w:p w:rsidRPr="2030048C" w:rsidP="2030048C">
      <w:pPr>
        <w:rPr>
          <w:rFonts w:ascii="Arial" w:eastAsia="Arial" w:hAnsi="Arial" w:cs="Arial"/>
          <w:sz w:val="24"/>
          <w:szCs w:val="24"/>
        </w:rPr>
      </w:pPr>
      <w:r w:rsidRPr="2030048C">
        <w:rPr>
          <w:rFonts w:ascii="Arial" w:eastAsia="Arial" w:hAnsi="Arial" w:cs="Arial"/>
          <w:sz w:val="24"/>
          <w:szCs w:val="24"/>
        </w:rPr>
        <w:t>Toolkit’ which is embedded throughout the programme. This toolkit contains activities that develop the skills apprentices need to become thoughtful, objective, and reasoned thinkers. It helps apprentices to tackle assignments confidently, understand marking criteria, use evidence, take a reasoned approach, make structured arguments, and engage with other points of view. Guided independent study activities are designated for each module and are identified on Canvas, along with information on the expectations for the activities and the time that should be allocated.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module is led by a Module Leader and delivered by an academic team who are responsible for planning and delivering the module and supporting apprentices to achieve the module learning outcomes. The module team are the primary means of academic support for apprentices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Academic skills development is provided throughout the curriculum alongside the theory content and assessment tutorials. Support is tailored to the academic level undertaken to ensure apprentices develop their skills appropriately. Apprentices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clinical skills and simulation practice modules integrate theory and the course vertical threads to equip apprentices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skills and simulation environment enables apprentices to build self-confidence by providing the opportunity for them to acquire, develop and refine clinical skills in a safe and supportive environment. It encourages hands-on thinking as well as developing decision- making, communication, dexterity, and critical thinking skills to support the holistic approach to person-centred care delivery. The spiral approach to the modules allows apprentices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and immersion suite. Role players (a group of service users) are trained to play the role of a patient with physical and/or mental health conditions, or their relatives, to support apprentices in the development of their clinical and communication skills. Actors from the Baked Bean Co. collaborate with us for learning disability and intra-professional simulations. The simulation suite is equipped with audio visual equipment to enable skills and simulation to be videoed for use in debrief sessions as feedforward to encourage apprentices to reflect on areas such as specific clinical skills, positioning, verbal and non- 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The groups then attend a debrief session where peer and lecturer feedback is given. The streamed footage is recorded and given to apprentices to they can reflect in their own time about their and their team’s performance.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have access to online learning facilities including comprehensive clinical skills packages via clincialskills.net, videos, quizzes, MOOC to further support skills development. These are all updated annually or more frequently if needed. Blended learning is integrated to engage apprentices, increase their knowledge and be a resource for further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design and delivery enable the development of apprentices’ digital and technological skills as outlined by Health Education England (NHS, 2018) and meet the needs of people in their care to ensure safe and effective nursing practice (NMC, 2018).</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Practice learning</w:t>
      </w:r>
    </w:p>
    <w:p w:rsidRPr="2030048C" w:rsidP="2030048C">
      <w:pPr>
        <w:rPr>
          <w:rFonts w:ascii="Arial" w:eastAsia="Arial" w:hAnsi="Arial" w:cs="Arial"/>
          <w:sz w:val="24"/>
          <w:szCs w:val="24"/>
        </w:rPr>
      </w:pPr>
      <w:r w:rsidRPr="2030048C">
        <w:rPr>
          <w:rFonts w:ascii="Arial" w:eastAsia="Arial" w:hAnsi="Arial" w:cs="Arial"/>
          <w:sz w:val="24"/>
          <w:szCs w:val="24"/>
        </w:rPr>
        <w:t>Practice learning is an integral part of the programme and apprentices undertake practice learning placements across a range of settings. These placements are where ‘off the job’ learning takes place. It is a requirement of the Nursing and Midwifery Council that both students and apprentices undertake a minimum of 2300 hours of practice and that they are supernumerary in practice placements. Placements are selected to ensure breadth of clinical experience and exposure to diverse client groups so that apprentices become proficient in meeting the holistic needs of people and can successfully demonstrate the communication, relationship management skills and nursing procedures defined in Annexes A and B of the Nursing and Midwifery Council’s Standards of Proficiency for Registered Nurses (NMC, 2018). In addition, placement learning opportunities ensure the apprentice meets the EU requirements for clinical instruction. Each placement has a designated Link Lecturer from the University who is available to provide guidance to practice supervisors and practice assessors and apprentices where required.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placements are preceded by timetabled preparation sessions which enable apprentices to consider their aims for the placement and the possible learning opportunities available, so that apprentices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apprentice to record and reflect on their practice placement and any outreach activities they may have undertaken during the placement.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During their practice placements apprentices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apprentices’ achievements and the range of workplace activities undertaken. The course team use this information to inform module teaching and programme development and to ensure theory and practice remain well aligned.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Assessment Method</w:t>
      </w:r>
    </w:p>
    <w:p w:rsidRPr="2030048C" w:rsidP="2030048C">
      <w:pPr>
        <w:rPr>
          <w:rFonts w:ascii="Arial" w:eastAsia="Arial" w:hAnsi="Arial" w:cs="Arial"/>
          <w:sz w:val="24"/>
          <w:szCs w:val="24"/>
        </w:rPr>
      </w:pPr>
      <w:r w:rsidRPr="2030048C">
        <w:rPr>
          <w:rFonts w:ascii="Arial" w:eastAsia="Arial" w:hAnsi="Arial" w:cs="Arial"/>
          <w:sz w:val="24"/>
          <w:szCs w:val="24"/>
        </w:rPr>
        <w:t>The assessment of apprentices’ learning is staged throughout the academic year to ensure coherence and an even, manageable workload. Each assessment has a formative element which allows apprentices to develop their ideas, seek feedback and maximise success at the summative submission. Apprentices are also provided with feed-forward at the summative points, which clarifies what they need to do to develop their future assignments and academic skills and achieve their full potential. The first assessment has a low weighting and is scheduled early in the first semester of Year/Part 1, with the aim of providing early feedback and guidance. Assignments are assessed using an online marking rubric to ensure transparency and facilitate feedback and feed-forward. A range of assessment types are employed and include examinations, essays, reports, presentations and practical assessments which take place in both the Clinical Skills and Simulation Suite and the workplace. Wherever possible, theoretical assessment tasks aim to be authentic, building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upon experiences in practice and are used to demonstrate clear linkages between theory and practice. Apprentices build a portfolio of evidence throughout the programme and this is used to prepare a capstone assignment in Part 3 which reflects part of the requirements for the revalidation process all Registered Nurses are required to undertake by the Nursing and Midwifery Council to maintain their registration.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apprentices are allocated a different academic assessor for each Part of the programme in accordance with NMC requirements. The academic assessor will collate and confirm apprentice achievement of proficiencies and programme outcomes in the academic environment at each progression point.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of practice is achieved through successful completion of the practice assessment document in each Part and an Observed Structured Clinical Assessment (OSCA) in Part one, in conjunction with successful sign-off in practice by a practice assessor and an academic assessor at the end of each Part. Theory and practice have equal weighting within the programme. Apprentices have to achieve a pass in both theory and practice to achieve their final award and register with the NMC</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The School of Nursing recognises that the nursing programme is a demanding course both personally and academically and in recognition of that, a strong emphasis is placed on apprentice support. Apprentices are supported by a number of roles which provide a matrix approach throughout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have a range of support resources upon which to draw, which includes the following: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Course Leader: The Course Leader helps apprentices to understand the structure and requirements of the course, in association with the course team. The Course Leader is responsible for the organisation and management of the programme and overall monitoring of apprentice progression.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apprentices in need of additional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 Scheme: Pastoral care is a strong feature of the BSc Nursing degree. It is recognised that the combination of work, study and personal family commitments can be challenging. Every apprentice is allocated a named personal tutor who provides a constant presence and continuity of support throughout the programme, encouraging and motivating their tutees. Regular personal tutor group tutorials are timetabled to facilitate group support at key points. Apprentices have regular one-to-one meetings with their personal tutor to monitor their progression and development. Apprentices are also able to contact their personal tutor for further academic and pastoral support, as required. Where appropriate, the personal tutor will refer apprentices to the School’s dedicated specialist lecturer for academic support who can provide one-to-one assistance with academic skill development or other university support services as required.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Specialist lecturer with a remit for academic support: apprentices are able to self-refer or be referred by any member of academic staff for one-to-one tutoring to support writing/academic skills; English language development; learning difference needs (e.g. dyslexia)</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Academic Skills Centres: self-referral drop-in centres staffed by specialist academic support lecturers who provide small group and one to one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The University uses Canvas as its virtual learning environment which provides a versatile, interactive learning platform.</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IT support: Canvas has its own dedicated 24-hour support available to apprentices. Additional IT support can be accessed via ‘My Kingston’.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Faculty Student Achievement Officer: This is a non-academic role which provides pastoral support and advice. Apprentices can arrange a one-to-one meeting or attend drop- in appointments. The Student Achievement Officer is able to sign-post apprentices to the wide range of services offered by the University. These include finance, accommodation, disability and dyslexia, health and wellbeing, counselling, faith and spirituality, Union of Kingston University Students.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Access to high quality learning resource centres (LRC), online learning facilities and other learning support. LRC support staff offer academic skills development both within the LRC and also integrated into module delivery.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Qualified disability advisor who gives guidance on reasonable adjustments and support for the apprentice and advises academic staff.</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Confidential counselling and pastoral support, including mental health support services.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Comprehensive occupational health services if required, beyond the employing organisation’s own provision.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Health and Wellbeing (including counselling), Faith and Spirituality regulations, legal matters, accommodation, international student support etc. are available to all apprentices.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Dyslexia and disability support (including support for Mental Health concerns). Apprentices with dyslexia and/or disability have access to support at both universities.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tripartite review meetings: These are held three times in each part of the programme between the apprentice, employer and university (normally personal tutor) to review the apprentice’s progress and support needs. The frequency of the meetings is confirmed in the apprenticeship Commitment Statement which is issued at the start of the course and signed by the employer, the apprentice and university. It summarises the schedule, roles, responsibilities and funding to support the successful completion of the apprenticeship.</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there are a number of other key non-academic roles which provide support for apprentices, such as Professional Support Staff and the Admissions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clinical practice, apprentices are supported by practice supervisors and practice assessors and a range of other nursing and health and social care professionals. Apprentices are allocated to suitably prepared practice supervisors and practice assessors in each placement. Further specific support may also be available such as Practice Educators and student placement coordinators. Each clinical area is supported by a Link Lecturer, a member of Faculty staff, who is available to provide support to apprentices and clinical staff if required. Academic Zone Leads are responsible for liaising with each organisation within a zone and coordinating support provided by Link Lecturers.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Extra-Curricular activities</w:t>
      </w:r>
    </w:p>
    <w:p w:rsidRPr="2030048C" w:rsidP="2030048C">
      <w:pPr>
        <w:rPr>
          <w:rFonts w:ascii="Arial" w:eastAsia="Arial" w:hAnsi="Arial" w:cs="Arial"/>
          <w:sz w:val="24"/>
          <w:szCs w:val="24"/>
        </w:rPr>
      </w:pPr>
      <w:r w:rsidRPr="2030048C">
        <w:rPr>
          <w:rFonts w:ascii="Arial" w:eastAsia="Arial" w:hAnsi="Arial" w:cs="Arial"/>
          <w:sz w:val="24"/>
          <w:szCs w:val="24"/>
        </w:rPr>
        <w:t>Apprentices benefit from a wide range of activities which allows them to engage with opportunities both within and beyond the realms of the course: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Nursing Society provides extra-curricular activities for students and apprentices and has facilitated a number of collaborations with staff.</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Student Academic Development Research Associate Scheme (SADRAS) is a Kingston University (KU) initiative which allows students/apprentices to undertake a research project with an academic partner.</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There are numerous other opportunities for roles through volunteering, sports and societies. The Kingston Award is a scheme that allows students &amp; apprentices to gain recognition for this work and can be used to enhance their CVs when applying for those all- important first jobs.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BodyText0"/>
        <w:widowControl w:val="0"/>
        <w:spacing w:before="2" w:after="0"/>
        <w:ind w:left="0" w:right="0"/>
        <w:rPr>
          <w:rFonts w:ascii="Arial" w:eastAsia="Arial" w:hAnsi="Arial" w:cs="Arial"/>
          <w:b/>
          <w:bCs/>
          <w:sz w:val="22"/>
          <w:szCs w:val="22"/>
        </w:rPr>
      </w:pPr>
    </w:p>
    <w:p w:rsidR="3D0EBCB8" w:rsidRPr="2030048C" w:rsidP="2030048C">
      <w:pPr>
        <w:pStyle w:val="BodyText0"/>
        <w:widowControl w:val="0"/>
        <w:spacing w:before="0" w:after="0"/>
        <w:ind w:left="319" w:right="216"/>
        <w:jc w:val="both"/>
        <w:rPr>
          <w:rFonts w:ascii="Arial" w:eastAsia="Arial" w:hAnsi="Arial" w:cs="Arial"/>
          <w:sz w:val="22"/>
          <w:szCs w:val="22"/>
        </w:rPr>
      </w:pPr>
      <w:r w:rsidRPr="2030048C">
        <w:rPr>
          <w:rFonts w:ascii="Arial" w:eastAsia="Arial" w:hAnsi="Arial" w:cs="Arial"/>
          <w:sz w:val="22"/>
          <w:szCs w:val="22"/>
        </w:rPr>
        <w:t xml:space="preserve">The University has </w:t>
      </w:r>
      <w:r w:rsidRPr="2030048C">
        <w:rPr>
          <w:rFonts w:ascii="Arial" w:eastAsia="Arial" w:hAnsi="Arial" w:cs="Arial"/>
          <w:sz w:val="22"/>
          <w:szCs w:val="22"/>
        </w:rPr>
        <w:t>a number of</w:t>
      </w:r>
      <w:r w:rsidRPr="2030048C">
        <w:rPr>
          <w:rFonts w:ascii="Arial" w:eastAsia="Arial" w:hAnsi="Arial" w:cs="Arial"/>
          <w:sz w:val="22"/>
          <w:szCs w:val="22"/>
        </w:rPr>
        <w:t xml:space="preserve"> approaches for evaluating and improving the quality and</w:t>
      </w:r>
      <w:r w:rsidRPr="2030048C">
        <w:rPr>
          <w:rFonts w:ascii="Arial" w:eastAsia="Arial" w:hAnsi="Arial" w:cs="Arial"/>
          <w:spacing w:val="1"/>
          <w:sz w:val="22"/>
          <w:szCs w:val="22"/>
        </w:rPr>
        <w:t xml:space="preserve"> </w:t>
      </w:r>
      <w:r w:rsidRPr="2030048C">
        <w:rPr>
          <w:rFonts w:ascii="Arial" w:eastAsia="Arial" w:hAnsi="Arial" w:cs="Arial"/>
          <w:sz w:val="22"/>
          <w:szCs w:val="22"/>
        </w:rPr>
        <w:t>standards</w:t>
      </w:r>
      <w:r w:rsidRPr="2030048C">
        <w:rPr>
          <w:rFonts w:ascii="Arial" w:eastAsia="Arial" w:hAnsi="Arial" w:cs="Arial"/>
          <w:spacing w:val="-3"/>
          <w:sz w:val="22"/>
          <w:szCs w:val="22"/>
        </w:rPr>
        <w:t xml:space="preserve"> </w:t>
      </w:r>
      <w:r w:rsidRPr="2030048C">
        <w:rPr>
          <w:rFonts w:ascii="Arial" w:eastAsia="Arial" w:hAnsi="Arial" w:cs="Arial"/>
          <w:sz w:val="22"/>
          <w:szCs w:val="22"/>
        </w:rPr>
        <w:t>of</w:t>
      </w:r>
      <w:r w:rsidRPr="2030048C">
        <w:rPr>
          <w:rFonts w:ascii="Arial" w:eastAsia="Arial" w:hAnsi="Arial" w:cs="Arial"/>
          <w:spacing w:val="2"/>
          <w:sz w:val="22"/>
          <w:szCs w:val="22"/>
        </w:rPr>
        <w:t xml:space="preserve"> </w:t>
      </w:r>
      <w:r w:rsidRPr="2030048C">
        <w:rPr>
          <w:rFonts w:ascii="Arial" w:eastAsia="Arial" w:hAnsi="Arial" w:cs="Arial"/>
          <w:sz w:val="22"/>
          <w:szCs w:val="22"/>
        </w:rPr>
        <w:t>its</w:t>
      </w:r>
      <w:r w:rsidRPr="2030048C">
        <w:rPr>
          <w:rFonts w:ascii="Arial" w:eastAsia="Arial" w:hAnsi="Arial" w:cs="Arial"/>
          <w:spacing w:val="-2"/>
          <w:sz w:val="22"/>
          <w:szCs w:val="22"/>
        </w:rPr>
        <w:t xml:space="preserve"> </w:t>
      </w:r>
      <w:r w:rsidRPr="2030048C">
        <w:rPr>
          <w:rFonts w:ascii="Arial" w:eastAsia="Arial" w:hAnsi="Arial" w:cs="Arial"/>
          <w:sz w:val="22"/>
          <w:szCs w:val="22"/>
        </w:rPr>
        <w:t>provision.</w:t>
      </w:r>
      <w:r w:rsidRPr="2030048C">
        <w:rPr>
          <w:rFonts w:ascii="Arial" w:eastAsia="Arial" w:hAnsi="Arial" w:cs="Arial"/>
          <w:spacing w:val="-1"/>
          <w:sz w:val="22"/>
          <w:szCs w:val="22"/>
        </w:rPr>
        <w:t xml:space="preserve"> </w:t>
      </w:r>
      <w:r w:rsidRPr="2030048C">
        <w:rPr>
          <w:rFonts w:ascii="Arial" w:eastAsia="Arial" w:hAnsi="Arial" w:cs="Arial"/>
          <w:sz w:val="22"/>
          <w:szCs w:val="22"/>
        </w:rPr>
        <w:t>These</w:t>
      </w:r>
      <w:r w:rsidRPr="2030048C">
        <w:rPr>
          <w:rFonts w:ascii="Arial" w:eastAsia="Arial" w:hAnsi="Arial" w:cs="Arial"/>
          <w:spacing w:val="-2"/>
          <w:sz w:val="22"/>
          <w:szCs w:val="22"/>
        </w:rPr>
        <w:t xml:space="preserve"> </w:t>
      </w:r>
      <w:r w:rsidRPr="2030048C">
        <w:rPr>
          <w:rFonts w:ascii="Arial" w:eastAsia="Arial" w:hAnsi="Arial" w:cs="Arial"/>
          <w:sz w:val="22"/>
          <w:szCs w:val="22"/>
        </w:rPr>
        <w:t>include:</w:t>
      </w:r>
    </w:p>
    <w:p w:rsidR="3D0EBCB8" w:rsidRPr="2030048C" w:rsidP="2030048C">
      <w:pPr>
        <w:pStyle w:val="BodyText0"/>
        <w:widowControl w:val="0"/>
        <w:spacing w:before="8" w:after="0"/>
        <w:ind w:left="0" w:right="0"/>
        <w:rPr>
          <w:rFonts w:ascii="Arial" w:eastAsia="Arial" w:hAnsi="Arial" w:cs="Arial"/>
          <w:sz w:val="21"/>
          <w:szCs w:val="21"/>
        </w:rPr>
      </w:pPr>
    </w:p>
    <w:p w:rsidR="3D0EBCB8" w:rsidRPr="2030048C" w:rsidP="2030048C">
      <w:pPr>
        <w:pStyle w:val="ListParagraph00"/>
        <w:widowControl w:val="0"/>
        <w:numPr>
          <w:ilvl w:val="0"/>
          <w:numId w:val="20"/>
        </w:numPr>
        <w:pBdr>
          <w:left w:val="none" w:sz="0" w:space="8" w:color="auto"/>
        </w:pBdr>
        <w:spacing w:before="1" w:after="0" w:line="269" w:lineRule="atLeast"/>
        <w:ind w:left="1040" w:right="0" w:hanging="522"/>
        <w:jc w:val="left"/>
        <w:rPr>
          <w:rFonts w:ascii="Times New Roman" w:eastAsia="Times New Roman" w:hAnsi="Times New Roman" w:cs="Times New Roman"/>
          <w:sz w:val="22"/>
          <w:szCs w:val="22"/>
        </w:rPr>
      </w:pPr>
      <w:r w:rsidRPr="2030048C">
        <w:rPr>
          <w:rFonts w:ascii="Arial" w:eastAsia="Arial" w:hAnsi="Arial" w:cs="Arial"/>
          <w:sz w:val="22"/>
          <w:szCs w:val="22"/>
        </w:rPr>
        <w:t>External</w:t>
      </w:r>
      <w:r w:rsidRPr="2030048C">
        <w:rPr>
          <w:rFonts w:ascii="Arial" w:eastAsia="Arial" w:hAnsi="Arial" w:cs="Arial"/>
          <w:spacing w:val="-4"/>
          <w:sz w:val="22"/>
          <w:szCs w:val="22"/>
        </w:rPr>
        <w:t xml:space="preserve"> </w:t>
      </w:r>
      <w:r w:rsidRPr="2030048C">
        <w:rPr>
          <w:rFonts w:ascii="Arial" w:eastAsia="Arial" w:hAnsi="Arial" w:cs="Arial"/>
          <w:sz w:val="22"/>
          <w:szCs w:val="22"/>
        </w:rPr>
        <w:t>examiners</w:t>
      </w:r>
    </w:p>
    <w:p w:rsidR="3D0EBCB8" w:rsidRPr="2030048C" w:rsidP="2030048C">
      <w:pPr>
        <w:pStyle w:val="ListParagraph00"/>
        <w:widowControl w:val="0"/>
        <w:numPr>
          <w:ilvl w:val="0"/>
          <w:numId w:val="20"/>
        </w:numPr>
        <w:pBdr>
          <w:left w:val="none" w:sz="0" w:space="8" w:color="auto"/>
        </w:pBdr>
        <w:spacing w:before="0" w:after="0" w:line="268" w:lineRule="atLeast"/>
        <w:ind w:left="1040"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Staff</w:t>
      </w:r>
      <w:r w:rsidRPr="2030048C">
        <w:rPr>
          <w:rFonts w:ascii="Arial" w:eastAsia="Arial" w:hAnsi="Arial" w:cs="Arial"/>
          <w:spacing w:val="-2"/>
          <w:sz w:val="22"/>
          <w:szCs w:val="22"/>
        </w:rPr>
        <w:t xml:space="preserve"> </w:t>
      </w:r>
      <w:r w:rsidRPr="2030048C">
        <w:rPr>
          <w:rFonts w:ascii="Arial" w:eastAsia="Arial" w:hAnsi="Arial" w:cs="Arial"/>
          <w:sz w:val="22"/>
          <w:szCs w:val="22"/>
        </w:rPr>
        <w:t>Student/Apprentice</w:t>
      </w:r>
      <w:r w:rsidRPr="2030048C">
        <w:rPr>
          <w:rFonts w:ascii="Arial" w:eastAsia="Arial" w:hAnsi="Arial" w:cs="Arial"/>
          <w:spacing w:val="-7"/>
          <w:sz w:val="22"/>
          <w:szCs w:val="22"/>
        </w:rPr>
        <w:t xml:space="preserve"> </w:t>
      </w:r>
      <w:r w:rsidRPr="2030048C">
        <w:rPr>
          <w:rFonts w:ascii="Arial" w:eastAsia="Arial" w:hAnsi="Arial" w:cs="Arial"/>
          <w:sz w:val="22"/>
          <w:szCs w:val="22"/>
        </w:rPr>
        <w:t>Consultative Committee</w:t>
      </w:r>
    </w:p>
    <w:p w:rsidR="3D0EBCB8" w:rsidRPr="2030048C" w:rsidP="2030048C">
      <w:pPr>
        <w:pStyle w:val="ListParagraph00"/>
        <w:widowControl w:val="0"/>
        <w:numPr>
          <w:ilvl w:val="0"/>
          <w:numId w:val="20"/>
        </w:numPr>
        <w:pBdr>
          <w:left w:val="none" w:sz="0" w:space="8" w:color="auto"/>
        </w:pBdr>
        <w:spacing w:before="0" w:after="0" w:line="268" w:lineRule="atLeast"/>
        <w:ind w:left="1040"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Boards</w:t>
      </w:r>
      <w:r w:rsidRPr="2030048C">
        <w:rPr>
          <w:rFonts w:ascii="Arial" w:eastAsia="Arial" w:hAnsi="Arial" w:cs="Arial"/>
          <w:spacing w:val="-2"/>
          <w:sz w:val="22"/>
          <w:szCs w:val="22"/>
        </w:rPr>
        <w:t xml:space="preserve"> </w:t>
      </w:r>
      <w:r w:rsidRPr="2030048C">
        <w:rPr>
          <w:rFonts w:ascii="Arial" w:eastAsia="Arial" w:hAnsi="Arial" w:cs="Arial"/>
          <w:sz w:val="22"/>
          <w:szCs w:val="22"/>
        </w:rPr>
        <w:t>of</w:t>
      </w:r>
      <w:r w:rsidRPr="2030048C">
        <w:rPr>
          <w:rFonts w:ascii="Arial" w:eastAsia="Arial" w:hAnsi="Arial" w:cs="Arial"/>
          <w:spacing w:val="-1"/>
          <w:sz w:val="22"/>
          <w:szCs w:val="22"/>
        </w:rPr>
        <w:t xml:space="preserve"> </w:t>
      </w:r>
      <w:r w:rsidRPr="2030048C">
        <w:rPr>
          <w:rFonts w:ascii="Arial" w:eastAsia="Arial" w:hAnsi="Arial" w:cs="Arial"/>
          <w:sz w:val="22"/>
          <w:szCs w:val="22"/>
        </w:rPr>
        <w:t>study</w:t>
      </w:r>
      <w:r w:rsidRPr="2030048C">
        <w:rPr>
          <w:rFonts w:ascii="Arial" w:eastAsia="Arial" w:hAnsi="Arial" w:cs="Arial"/>
          <w:spacing w:val="-5"/>
          <w:sz w:val="22"/>
          <w:szCs w:val="22"/>
        </w:rPr>
        <w:t xml:space="preserve"> </w:t>
      </w:r>
      <w:r w:rsidRPr="2030048C">
        <w:rPr>
          <w:rFonts w:ascii="Arial" w:eastAsia="Arial" w:hAnsi="Arial" w:cs="Arial"/>
          <w:sz w:val="22"/>
          <w:szCs w:val="22"/>
        </w:rPr>
        <w:t>with</w:t>
      </w:r>
      <w:r w:rsidRPr="2030048C">
        <w:rPr>
          <w:rFonts w:ascii="Arial" w:eastAsia="Arial" w:hAnsi="Arial" w:cs="Arial"/>
          <w:spacing w:val="-3"/>
          <w:sz w:val="22"/>
          <w:szCs w:val="22"/>
        </w:rPr>
        <w:t xml:space="preserve"> </w:t>
      </w:r>
      <w:r w:rsidRPr="2030048C">
        <w:rPr>
          <w:rFonts w:ascii="Arial" w:eastAsia="Arial" w:hAnsi="Arial" w:cs="Arial"/>
          <w:sz w:val="22"/>
          <w:szCs w:val="22"/>
        </w:rPr>
        <w:t>student/apprentice</w:t>
      </w:r>
      <w:r w:rsidRPr="2030048C">
        <w:rPr>
          <w:rFonts w:ascii="Arial" w:eastAsia="Arial" w:hAnsi="Arial" w:cs="Arial"/>
          <w:spacing w:val="-6"/>
          <w:sz w:val="22"/>
          <w:szCs w:val="22"/>
        </w:rPr>
        <w:t xml:space="preserve"> </w:t>
      </w:r>
      <w:r w:rsidRPr="2030048C">
        <w:rPr>
          <w:rFonts w:ascii="Arial" w:eastAsia="Arial" w:hAnsi="Arial" w:cs="Arial"/>
          <w:sz w:val="22"/>
          <w:szCs w:val="22"/>
        </w:rPr>
        <w:t>representation</w:t>
      </w:r>
    </w:p>
    <w:p w:rsidR="3D0EBCB8" w:rsidRPr="2030048C" w:rsidP="2030048C">
      <w:pPr>
        <w:pStyle w:val="ListParagraph00"/>
        <w:widowControl w:val="0"/>
        <w:numPr>
          <w:ilvl w:val="0"/>
          <w:numId w:val="20"/>
        </w:numPr>
        <w:pBdr>
          <w:left w:val="none" w:sz="0" w:space="8" w:color="auto"/>
        </w:pBdr>
        <w:spacing w:before="0" w:after="0" w:line="269" w:lineRule="atLeast"/>
        <w:ind w:left="1040"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Annual</w:t>
      </w:r>
      <w:r w:rsidRPr="2030048C">
        <w:rPr>
          <w:rFonts w:ascii="Arial" w:eastAsia="Arial" w:hAnsi="Arial" w:cs="Arial"/>
          <w:spacing w:val="-3"/>
          <w:sz w:val="22"/>
          <w:szCs w:val="22"/>
        </w:rPr>
        <w:t xml:space="preserve"> </w:t>
      </w:r>
      <w:r w:rsidRPr="2030048C">
        <w:rPr>
          <w:rFonts w:ascii="Arial" w:eastAsia="Arial" w:hAnsi="Arial" w:cs="Arial"/>
          <w:sz w:val="22"/>
          <w:szCs w:val="22"/>
        </w:rPr>
        <w:t>Monitoring</w:t>
      </w:r>
      <w:r w:rsidRPr="2030048C">
        <w:rPr>
          <w:rFonts w:ascii="Arial" w:eastAsia="Arial" w:hAnsi="Arial" w:cs="Arial"/>
          <w:spacing w:val="-2"/>
          <w:sz w:val="22"/>
          <w:szCs w:val="22"/>
        </w:rPr>
        <w:t xml:space="preserve"> </w:t>
      </w:r>
      <w:r w:rsidRPr="2030048C">
        <w:rPr>
          <w:rFonts w:ascii="Arial" w:eastAsia="Arial" w:hAnsi="Arial" w:cs="Arial"/>
          <w:sz w:val="22"/>
          <w:szCs w:val="22"/>
        </w:rPr>
        <w:t>and</w:t>
      </w:r>
      <w:r w:rsidRPr="2030048C">
        <w:rPr>
          <w:rFonts w:ascii="Arial" w:eastAsia="Arial" w:hAnsi="Arial" w:cs="Arial"/>
          <w:spacing w:val="-3"/>
          <w:sz w:val="22"/>
          <w:szCs w:val="22"/>
        </w:rPr>
        <w:t xml:space="preserve"> </w:t>
      </w:r>
      <w:r w:rsidRPr="2030048C">
        <w:rPr>
          <w:rFonts w:ascii="Arial" w:eastAsia="Arial" w:hAnsi="Arial" w:cs="Arial"/>
          <w:sz w:val="22"/>
          <w:szCs w:val="22"/>
        </w:rPr>
        <w:t>Enhancement</w:t>
      </w:r>
      <w:r w:rsidRPr="2030048C">
        <w:rPr>
          <w:rFonts w:ascii="Arial" w:eastAsia="Arial" w:hAnsi="Arial" w:cs="Arial"/>
          <w:spacing w:val="-2"/>
          <w:sz w:val="22"/>
          <w:szCs w:val="22"/>
        </w:rPr>
        <w:t xml:space="preserve"> </w:t>
      </w:r>
      <w:r w:rsidRPr="2030048C">
        <w:rPr>
          <w:rFonts w:ascii="Arial" w:eastAsia="Arial" w:hAnsi="Arial" w:cs="Arial"/>
          <w:sz w:val="22"/>
          <w:szCs w:val="22"/>
        </w:rPr>
        <w:t>processes</w:t>
      </w:r>
    </w:p>
    <w:p w:rsidR="3D0EBCB8" w:rsidRPr="2030048C" w:rsidP="2030048C">
      <w:pPr>
        <w:pStyle w:val="ListParagraph00"/>
        <w:widowControl w:val="0"/>
        <w:numPr>
          <w:ilvl w:val="0"/>
          <w:numId w:val="20"/>
        </w:numPr>
        <w:pBdr>
          <w:left w:val="none" w:sz="0" w:space="8" w:color="auto"/>
        </w:pBdr>
        <w:spacing w:before="1" w:after="0"/>
        <w:ind w:left="1040" w:right="0" w:hanging="522"/>
        <w:jc w:val="left"/>
        <w:rPr>
          <w:rFonts w:ascii="Times New Roman" w:eastAsia="Times New Roman" w:hAnsi="Times New Roman" w:cs="Times New Roman"/>
          <w:sz w:val="22"/>
          <w:szCs w:val="22"/>
        </w:rPr>
      </w:pPr>
      <w:r w:rsidRPr="2030048C">
        <w:rPr>
          <w:rFonts w:ascii="Arial" w:eastAsia="Arial" w:hAnsi="Arial" w:cs="Arial"/>
          <w:sz w:val="22"/>
          <w:szCs w:val="22"/>
        </w:rPr>
        <w:t>Internal</w:t>
      </w:r>
      <w:r w:rsidRPr="2030048C">
        <w:rPr>
          <w:rFonts w:ascii="Arial" w:eastAsia="Arial" w:hAnsi="Arial" w:cs="Arial"/>
          <w:spacing w:val="-3"/>
          <w:sz w:val="22"/>
          <w:szCs w:val="22"/>
        </w:rPr>
        <w:t xml:space="preserve"> </w:t>
      </w:r>
      <w:r w:rsidRPr="2030048C">
        <w:rPr>
          <w:rFonts w:ascii="Arial" w:eastAsia="Arial" w:hAnsi="Arial" w:cs="Arial"/>
          <w:sz w:val="22"/>
          <w:szCs w:val="22"/>
        </w:rPr>
        <w:t>Subject</w:t>
      </w:r>
      <w:r w:rsidRPr="2030048C">
        <w:rPr>
          <w:rFonts w:ascii="Arial" w:eastAsia="Arial" w:hAnsi="Arial" w:cs="Arial"/>
          <w:spacing w:val="-2"/>
          <w:sz w:val="22"/>
          <w:szCs w:val="22"/>
        </w:rPr>
        <w:t xml:space="preserve"> </w:t>
      </w:r>
      <w:r w:rsidRPr="2030048C">
        <w:rPr>
          <w:rFonts w:ascii="Arial" w:eastAsia="Arial" w:hAnsi="Arial" w:cs="Arial"/>
          <w:sz w:val="22"/>
          <w:szCs w:val="22"/>
        </w:rPr>
        <w:t>Review</w:t>
      </w:r>
    </w:p>
    <w:p w:rsidR="3D0EBCB8" w:rsidRPr="2030048C" w:rsidP="2030048C">
      <w:pPr>
        <w:pStyle w:val="ListParagraph00"/>
        <w:widowControl w:val="0"/>
        <w:numPr>
          <w:ilvl w:val="0"/>
          <w:numId w:val="20"/>
        </w:numPr>
        <w:pBdr>
          <w:left w:val="none" w:sz="0" w:space="7" w:color="auto"/>
        </w:pBdr>
        <w:spacing w:before="2" w:after="0"/>
        <w:ind w:left="1040" w:right="1122" w:hanging="520"/>
        <w:jc w:val="left"/>
        <w:rPr>
          <w:rFonts w:ascii="Times New Roman" w:eastAsia="Times New Roman" w:hAnsi="Times New Roman" w:cs="Times New Roman"/>
          <w:sz w:val="22"/>
          <w:szCs w:val="22"/>
        </w:rPr>
      </w:pPr>
      <w:r w:rsidRPr="2030048C">
        <w:rPr>
          <w:rFonts w:ascii="Arial" w:eastAsia="Arial" w:hAnsi="Arial" w:cs="Arial"/>
          <w:sz w:val="22"/>
          <w:szCs w:val="22"/>
        </w:rPr>
        <w:t>Student/apprentice evaluation including Module Evaluation Questionnaire</w:t>
      </w:r>
      <w:r w:rsidRPr="2030048C">
        <w:rPr>
          <w:rFonts w:ascii="Arial" w:eastAsia="Arial" w:hAnsi="Arial" w:cs="Arial"/>
          <w:spacing w:val="1"/>
          <w:sz w:val="22"/>
          <w:szCs w:val="22"/>
        </w:rPr>
        <w:t xml:space="preserve"> </w:t>
      </w:r>
      <w:r w:rsidRPr="2030048C">
        <w:rPr>
          <w:rFonts w:ascii="Arial" w:eastAsia="Arial" w:hAnsi="Arial" w:cs="Arial"/>
          <w:sz w:val="22"/>
          <w:szCs w:val="22"/>
        </w:rPr>
        <w:t>(MEQs), level surveys, the National Student Survey (NSS) and evaluation of</w:t>
      </w:r>
      <w:r w:rsidRPr="2030048C">
        <w:rPr>
          <w:rFonts w:ascii="Arial" w:eastAsia="Arial" w:hAnsi="Arial" w:cs="Arial"/>
          <w:spacing w:val="-59"/>
          <w:sz w:val="22"/>
          <w:szCs w:val="22"/>
        </w:rPr>
        <w:t xml:space="preserve"> </w:t>
      </w:r>
      <w:r w:rsidRPr="2030048C">
        <w:rPr>
          <w:rFonts w:ascii="Arial" w:eastAsia="Arial" w:hAnsi="Arial" w:cs="Arial"/>
          <w:sz w:val="22"/>
          <w:szCs w:val="22"/>
        </w:rPr>
        <w:t>practice</w:t>
      </w:r>
      <w:r w:rsidRPr="2030048C">
        <w:rPr>
          <w:rFonts w:ascii="Arial" w:eastAsia="Arial" w:hAnsi="Arial" w:cs="Arial"/>
          <w:spacing w:val="-3"/>
          <w:sz w:val="22"/>
          <w:szCs w:val="22"/>
        </w:rPr>
        <w:t xml:space="preserve"> </w:t>
      </w:r>
      <w:r w:rsidRPr="2030048C">
        <w:rPr>
          <w:rFonts w:ascii="Arial" w:eastAsia="Arial" w:hAnsi="Arial" w:cs="Arial"/>
          <w:sz w:val="22"/>
          <w:szCs w:val="22"/>
        </w:rPr>
        <w:t>placement</w:t>
      </w:r>
      <w:r w:rsidRPr="2030048C">
        <w:rPr>
          <w:rFonts w:ascii="Arial" w:eastAsia="Arial" w:hAnsi="Arial" w:cs="Arial"/>
          <w:spacing w:val="2"/>
          <w:sz w:val="22"/>
          <w:szCs w:val="22"/>
        </w:rPr>
        <w:t xml:space="preserve"> </w:t>
      </w:r>
      <w:r w:rsidRPr="2030048C">
        <w:rPr>
          <w:rFonts w:ascii="Arial" w:eastAsia="Arial" w:hAnsi="Arial" w:cs="Arial"/>
          <w:sz w:val="22"/>
          <w:szCs w:val="22"/>
        </w:rPr>
        <w:t>experiences</w:t>
      </w:r>
    </w:p>
    <w:p w:rsidR="3D0EBCB8" w:rsidRPr="2030048C" w:rsidP="2030048C">
      <w:pPr>
        <w:pStyle w:val="ListParagraph00"/>
        <w:widowControl w:val="0"/>
        <w:numPr>
          <w:ilvl w:val="0"/>
          <w:numId w:val="20"/>
        </w:numPr>
        <w:pBdr>
          <w:left w:val="none" w:sz="0" w:space="8" w:color="auto"/>
        </w:pBdr>
        <w:spacing w:before="0" w:after="0" w:line="259" w:lineRule="atLeast"/>
        <w:ind w:left="1041"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pacing w:val="-3"/>
          <w:sz w:val="22"/>
          <w:szCs w:val="22"/>
        </w:rPr>
        <w:t xml:space="preserve"> </w:t>
      </w:r>
      <w:r w:rsidRPr="2030048C">
        <w:rPr>
          <w:rFonts w:ascii="Arial" w:eastAsia="Arial" w:hAnsi="Arial" w:cs="Arial"/>
          <w:sz w:val="22"/>
          <w:szCs w:val="22"/>
        </w:rPr>
        <w:t>policies</w:t>
      </w:r>
    </w:p>
    <w:p w:rsidR="3D0EBCB8" w:rsidRPr="2030048C" w:rsidP="2030048C">
      <w:pPr>
        <w:pStyle w:val="ListParagraph00"/>
        <w:widowControl w:val="0"/>
        <w:numPr>
          <w:ilvl w:val="0"/>
          <w:numId w:val="20"/>
        </w:numPr>
        <w:pBdr>
          <w:left w:val="none" w:sz="0" w:space="8" w:color="auto"/>
        </w:pBdr>
        <w:spacing w:before="0" w:after="0" w:line="269" w:lineRule="atLeast"/>
        <w:ind w:left="1041" w:right="0" w:hanging="523"/>
        <w:jc w:val="left"/>
        <w:rPr>
          <w:rFonts w:ascii="Times New Roman" w:eastAsia="Times New Roman" w:hAnsi="Times New Roman" w:cs="Times New Roman"/>
          <w:sz w:val="22"/>
          <w:szCs w:val="22"/>
        </w:rPr>
      </w:pPr>
      <w:r w:rsidRPr="2030048C">
        <w:rPr>
          <w:rFonts w:ascii="Arial" w:eastAsia="Arial" w:hAnsi="Arial" w:cs="Arial"/>
          <w:sz w:val="22"/>
          <w:szCs w:val="22"/>
        </w:rPr>
        <w:t>Feedback</w:t>
      </w:r>
      <w:r w:rsidRPr="2030048C">
        <w:rPr>
          <w:rFonts w:ascii="Arial" w:eastAsia="Arial" w:hAnsi="Arial" w:cs="Arial"/>
          <w:spacing w:val="-4"/>
          <w:sz w:val="22"/>
          <w:szCs w:val="22"/>
        </w:rPr>
        <w:t xml:space="preserve"> </w:t>
      </w:r>
      <w:r w:rsidRPr="2030048C">
        <w:rPr>
          <w:rFonts w:ascii="Arial" w:eastAsia="Arial" w:hAnsi="Arial" w:cs="Arial"/>
          <w:sz w:val="22"/>
          <w:szCs w:val="22"/>
        </w:rPr>
        <w:t>from</w:t>
      </w:r>
      <w:r w:rsidRPr="2030048C">
        <w:rPr>
          <w:rFonts w:ascii="Arial" w:eastAsia="Arial" w:hAnsi="Arial" w:cs="Arial"/>
          <w:spacing w:val="-3"/>
          <w:sz w:val="22"/>
          <w:szCs w:val="22"/>
        </w:rPr>
        <w:t xml:space="preserve"> </w:t>
      </w:r>
      <w:r w:rsidRPr="2030048C">
        <w:rPr>
          <w:rFonts w:ascii="Arial" w:eastAsia="Arial" w:hAnsi="Arial" w:cs="Arial"/>
          <w:sz w:val="22"/>
          <w:szCs w:val="22"/>
        </w:rPr>
        <w:t>employers</w:t>
      </w:r>
    </w:p>
    <w:p w:rsidR="3D0EBCB8" w:rsidRPr="2030048C" w:rsidP="2030048C">
      <w:pPr>
        <w:pStyle w:val="ListParagraph00"/>
        <w:widowControl w:val="0"/>
        <w:numPr>
          <w:ilvl w:val="0"/>
          <w:numId w:val="20"/>
        </w:numPr>
        <w:tabs>
          <w:tab w:val="left" w:pos="1041"/>
        </w:tabs>
        <w:spacing w:before="0" w:after="0" w:line="250" w:lineRule="auto"/>
        <w:ind w:left="100" w:right="742" w:firstLine="578"/>
        <w:jc w:val="left"/>
        <w:rPr>
          <w:rFonts w:ascii="Times New Roman" w:eastAsia="Times New Roman" w:hAnsi="Times New Roman" w:cs="Times New Roman"/>
          <w:sz w:val="22"/>
          <w:szCs w:val="22"/>
        </w:rPr>
      </w:pPr>
      <w:r w:rsidRPr="2030048C">
        <w:rPr>
          <w:rFonts w:ascii="Arial" w:eastAsia="Arial" w:hAnsi="Arial" w:cs="Arial"/>
          <w:sz w:val="22"/>
          <w:szCs w:val="22"/>
        </w:rPr>
        <w:t>Consultations and feedback with employers, practice partners and service users</w:t>
      </w:r>
      <w:r w:rsidRPr="2030048C">
        <w:rPr>
          <w:rFonts w:ascii="Arial" w:eastAsia="Arial" w:hAnsi="Arial" w:cs="Arial"/>
          <w:spacing w:val="-59"/>
          <w:sz w:val="22"/>
          <w:szCs w:val="22"/>
        </w:rPr>
        <w:t xml:space="preserve"> </w:t>
      </w:r>
      <w:r w:rsidRPr="2030048C">
        <w:rPr>
          <w:rFonts w:ascii="Arial" w:eastAsia="Arial" w:hAnsi="Arial" w:cs="Arial"/>
          <w:sz w:val="22"/>
          <w:szCs w:val="22"/>
        </w:rPr>
        <w:t>In</w:t>
      </w:r>
      <w:r w:rsidRPr="2030048C">
        <w:rPr>
          <w:rFonts w:ascii="Arial" w:eastAsia="Arial" w:hAnsi="Arial" w:cs="Arial"/>
          <w:spacing w:val="-1"/>
          <w:sz w:val="22"/>
          <w:szCs w:val="22"/>
        </w:rPr>
        <w:t xml:space="preserve"> </w:t>
      </w:r>
      <w:r w:rsidRPr="2030048C">
        <w:rPr>
          <w:rFonts w:ascii="Arial" w:eastAsia="Arial" w:hAnsi="Arial" w:cs="Arial"/>
          <w:sz w:val="22"/>
          <w:szCs w:val="22"/>
        </w:rPr>
        <w:t>addition,</w:t>
      </w:r>
      <w:r w:rsidRPr="2030048C">
        <w:rPr>
          <w:rFonts w:ascii="Arial" w:eastAsia="Arial" w:hAnsi="Arial" w:cs="Arial"/>
          <w:spacing w:val="-3"/>
          <w:sz w:val="22"/>
          <w:szCs w:val="22"/>
        </w:rPr>
        <w:t xml:space="preserve"> </w:t>
      </w:r>
      <w:r w:rsidRPr="2030048C">
        <w:rPr>
          <w:rFonts w:ascii="Arial" w:eastAsia="Arial" w:hAnsi="Arial" w:cs="Arial"/>
          <w:sz w:val="22"/>
          <w:szCs w:val="22"/>
        </w:rPr>
        <w:t>for apprenticeship programmes</w:t>
      </w:r>
    </w:p>
    <w:p w:rsidR="3D0EBCB8" w:rsidRPr="2030048C" w:rsidP="2030048C">
      <w:pPr>
        <w:pStyle w:val="ListParagraph00"/>
        <w:widowControl w:val="0"/>
        <w:numPr>
          <w:ilvl w:val="0"/>
          <w:numId w:val="20"/>
        </w:numPr>
        <w:pBdr>
          <w:left w:val="none" w:sz="0" w:space="8" w:color="auto"/>
        </w:pBdr>
        <w:spacing w:before="0" w:after="0" w:line="261" w:lineRule="atLeast"/>
        <w:ind w:left="1041" w:right="0" w:hanging="522"/>
        <w:jc w:val="left"/>
        <w:rPr>
          <w:rFonts w:ascii="Times New Roman" w:eastAsia="Times New Roman" w:hAnsi="Times New Roman" w:cs="Times New Roman"/>
          <w:sz w:val="22"/>
          <w:szCs w:val="22"/>
        </w:rPr>
      </w:pPr>
      <w:r w:rsidRPr="2030048C">
        <w:rPr>
          <w:rFonts w:ascii="Arial" w:eastAsia="Arial" w:hAnsi="Arial" w:cs="Arial"/>
          <w:sz w:val="22"/>
          <w:szCs w:val="22"/>
        </w:rPr>
        <w:t>Apprenticeship</w:t>
      </w:r>
      <w:r w:rsidRPr="2030048C">
        <w:rPr>
          <w:rFonts w:ascii="Arial" w:eastAsia="Arial" w:hAnsi="Arial" w:cs="Arial"/>
          <w:spacing w:val="-3"/>
          <w:sz w:val="22"/>
          <w:szCs w:val="22"/>
        </w:rPr>
        <w:t xml:space="preserve"> </w:t>
      </w:r>
      <w:r w:rsidRPr="2030048C">
        <w:rPr>
          <w:rFonts w:ascii="Arial" w:eastAsia="Arial" w:hAnsi="Arial" w:cs="Arial"/>
          <w:sz w:val="22"/>
          <w:szCs w:val="22"/>
        </w:rPr>
        <w:t>employer</w:t>
      </w:r>
      <w:r w:rsidRPr="2030048C">
        <w:rPr>
          <w:rFonts w:ascii="Arial" w:eastAsia="Arial" w:hAnsi="Arial" w:cs="Arial"/>
          <w:spacing w:val="-1"/>
          <w:sz w:val="22"/>
          <w:szCs w:val="22"/>
        </w:rPr>
        <w:t xml:space="preserve"> </w:t>
      </w:r>
      <w:r w:rsidRPr="2030048C">
        <w:rPr>
          <w:rFonts w:ascii="Arial" w:eastAsia="Arial" w:hAnsi="Arial" w:cs="Arial"/>
          <w:sz w:val="22"/>
          <w:szCs w:val="22"/>
        </w:rPr>
        <w:t>engagement</w:t>
      </w:r>
      <w:r w:rsidRPr="2030048C">
        <w:rPr>
          <w:rFonts w:ascii="Arial" w:eastAsia="Arial" w:hAnsi="Arial" w:cs="Arial"/>
          <w:spacing w:val="-4"/>
          <w:sz w:val="22"/>
          <w:szCs w:val="22"/>
        </w:rPr>
        <w:t xml:space="preserve"> </w:t>
      </w:r>
      <w:r w:rsidRPr="2030048C">
        <w:rPr>
          <w:rFonts w:ascii="Arial" w:eastAsia="Arial" w:hAnsi="Arial" w:cs="Arial"/>
          <w:sz w:val="22"/>
          <w:szCs w:val="22"/>
        </w:rPr>
        <w:t>meetings</w:t>
      </w:r>
    </w:p>
    <w:p w:rsidR="3D0EBCB8" w:rsidRPr="2030048C" w:rsidP="2030048C">
      <w:pPr>
        <w:pStyle w:val="ListParagraph00"/>
        <w:widowControl w:val="0"/>
        <w:numPr>
          <w:ilvl w:val="0"/>
          <w:numId w:val="20"/>
        </w:numPr>
        <w:pBdr>
          <w:left w:val="none" w:sz="0" w:space="8" w:color="auto"/>
        </w:pBdr>
        <w:spacing w:before="0" w:after="0" w:line="254" w:lineRule="auto"/>
        <w:ind w:left="1042" w:right="246" w:hanging="521"/>
        <w:jc w:val="left"/>
        <w:rPr>
          <w:rFonts w:ascii="Times New Roman" w:eastAsia="Times New Roman" w:hAnsi="Times New Roman" w:cs="Times New Roman"/>
          <w:sz w:val="22"/>
          <w:szCs w:val="22"/>
        </w:rPr>
      </w:pPr>
      <w:r w:rsidRPr="2030048C">
        <w:rPr>
          <w:rFonts w:ascii="Arial" w:eastAsia="Arial" w:hAnsi="Arial" w:cs="Arial"/>
          <w:sz w:val="22"/>
          <w:szCs w:val="22"/>
        </w:rPr>
        <w:t>Monitoring of the apprentice’s journey and achievement of the programme</w:t>
      </w:r>
      <w:r w:rsidRPr="2030048C">
        <w:rPr>
          <w:rFonts w:ascii="Arial" w:eastAsia="Arial" w:hAnsi="Arial" w:cs="Arial"/>
          <w:spacing w:val="1"/>
          <w:sz w:val="22"/>
          <w:szCs w:val="22"/>
        </w:rPr>
        <w:t xml:space="preserve"> </w:t>
      </w:r>
      <w:r w:rsidRPr="2030048C">
        <w:rPr>
          <w:rFonts w:ascii="Arial" w:eastAsia="Arial" w:hAnsi="Arial" w:cs="Arial"/>
          <w:sz w:val="22"/>
          <w:szCs w:val="22"/>
        </w:rPr>
        <w:t>requirements including achievement of the requirements in the RNDA apprenticeship</w:t>
      </w:r>
      <w:r w:rsidRPr="2030048C">
        <w:rPr>
          <w:rFonts w:ascii="Arial" w:eastAsia="Arial" w:hAnsi="Arial" w:cs="Arial"/>
          <w:spacing w:val="-59"/>
          <w:sz w:val="22"/>
          <w:szCs w:val="22"/>
        </w:rPr>
        <w:t xml:space="preserve"> </w:t>
      </w:r>
      <w:r w:rsidRPr="2030048C">
        <w:rPr>
          <w:rFonts w:ascii="Arial" w:eastAsia="Arial" w:hAnsi="Arial" w:cs="Arial"/>
          <w:sz w:val="22"/>
          <w:szCs w:val="22"/>
        </w:rPr>
        <w:t>standard and NMC standards and proficiencies and on the job learning that has been</w:t>
      </w:r>
      <w:r w:rsidRPr="2030048C">
        <w:rPr>
          <w:rFonts w:ascii="Arial" w:eastAsia="Arial" w:hAnsi="Arial" w:cs="Arial"/>
          <w:spacing w:val="-59"/>
          <w:sz w:val="22"/>
          <w:szCs w:val="22"/>
        </w:rPr>
        <w:t xml:space="preserve"> </w:t>
      </w:r>
      <w:r w:rsidRPr="2030048C">
        <w:rPr>
          <w:rFonts w:ascii="Arial" w:eastAsia="Arial" w:hAnsi="Arial" w:cs="Arial"/>
          <w:sz w:val="22"/>
          <w:szCs w:val="22"/>
        </w:rPr>
        <w:t>achieved</w:t>
      </w:r>
      <w:r w:rsidRPr="2030048C">
        <w:rPr>
          <w:rFonts w:ascii="Arial" w:eastAsia="Arial" w:hAnsi="Arial" w:cs="Arial"/>
          <w:spacing w:val="-1"/>
          <w:sz w:val="22"/>
          <w:szCs w:val="22"/>
        </w:rPr>
        <w:t xml:space="preserve"> </w:t>
      </w:r>
      <w:r w:rsidRPr="2030048C">
        <w:rPr>
          <w:rFonts w:ascii="Arial" w:eastAsia="Arial" w:hAnsi="Arial" w:cs="Arial"/>
          <w:sz w:val="22"/>
          <w:szCs w:val="22"/>
        </w:rPr>
        <w:t>on placements.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1"/>
        <w:gridCol w:w="218"/>
        <w:gridCol w:w="551"/>
        <w:gridCol w:w="551"/>
        <w:gridCol w:w="551"/>
        <w:gridCol w:w="558"/>
        <w:gridCol w:w="1"/>
        <w:gridCol w:w="551"/>
        <w:gridCol w:w="551"/>
        <w:gridCol w:w="559"/>
        <w:gridCol w:w="559"/>
        <w:gridCol w:w="549"/>
        <w:gridCol w:w="2"/>
        <w:gridCol w:w="559"/>
        <w:gridCol w:w="551"/>
        <w:gridCol w:w="551"/>
        <w:gridCol w:w="559"/>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NA4200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BodyText">
    <w:name w:val="BodyText"/>
    <w:basedOn w:val="ListParagraph"/>
    <w:pPr>
      <w:widowControl w:val="0"/>
    </w:pPr>
    <w:rPr>
      <w:rFonts w:ascii="Arial" w:eastAsia="Arial" w:hAnsi="Arial" w:cs="Arial"/>
      <w:sz w:val="22"/>
      <w:szCs w:val="22"/>
    </w:rPr>
  </w:style>
  <w:style w:type="paragraph" w:customStyle="1" w:styleId="p">
    <w:name w:val="p"/>
    <w:basedOn w:val="ListParagraph"/>
  </w:style>
  <w:style w:type="paragraph" w:customStyle="1" w:styleId="ListParagraph0">
    <w:name w:val="ListParagraph"/>
    <w:basedOn w:val="ListParagraph"/>
    <w:pPr>
      <w:widowControl w:val="0"/>
      <w:ind w:hanging="361"/>
    </w:pPr>
    <w:rPr>
      <w:rFonts w:ascii="Arial" w:eastAsia="Arial" w:hAnsi="Arial" w:cs="Arial"/>
      <w:sz w:val="22"/>
      <w:szCs w:val="22"/>
    </w:rPr>
  </w:style>
  <w:style w:type="paragraph" w:customStyle="1" w:styleId="BodyText0">
    <w:name w:val="BodyText_0"/>
    <w:basedOn w:val="Normal"/>
    <w:pPr>
      <w:widowControl w:val="0"/>
    </w:pPr>
    <w:rPr>
      <w:rFonts w:ascii="Arial" w:eastAsia="Arial" w:hAnsi="Arial" w:cs="Arial"/>
      <w:sz w:val="22"/>
      <w:szCs w:val="22"/>
    </w:rPr>
  </w:style>
  <w:style w:type="paragraph" w:customStyle="1" w:styleId="ListParagraph00">
    <w:name w:val="ListParagraph_0"/>
    <w:basedOn w:val="Normal"/>
    <w:pPr>
      <w:widowControl w:val="0"/>
      <w:ind w:hanging="36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