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and Accounting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01/03/2021</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27/08/2025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and Accounting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and Accounting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and Accounting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and Accounting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UFBAC1BAC20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N140 -BSc (Hons) Business and Accounting (3YR FT)N141- BSc (Hons) Business and Accounting with Professional Placement (4YR FT)</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and Accounting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and Accounting</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and Accounting</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and Accounting</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USBAC1BAC45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Association for the Advancement of Collegiate Schools of Business (AACSB)</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 It is intended that this course will have exemptions for CIMA in line with BSc (Hons) Business Management, and we will also be seeking some exemptions for ACCA.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i/>
                <w:iCs/>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The main features of this programme: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students with an in-depth knowledge and understanding of the core elements of business and management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 specialist knowledge of accounting and its role in business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develop the intellectual skills necessary to contribute to effective business practice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business related practical skills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prepare students for graduate employment, research, further </w:t>
      </w:r>
      <w:r w:rsidRPr="2030048C">
        <w:rPr>
          <w:rStyle w:val="normaltextrun"/>
          <w:rFonts w:ascii="Arial" w:hAnsi="Arial" w:cs="Arial"/>
          <w:color w:val="000000" w:themeColor="text1"/>
          <w:sz w:val="24"/>
          <w:szCs w:val="24"/>
          <w:shd w:val="clear" w:color="auto" w:fill="FFFFFF"/>
        </w:rPr>
        <w:t>study,</w:t>
      </w:r>
      <w:r w:rsidRPr="2030048C">
        <w:rPr>
          <w:rStyle w:val="normaltextrun"/>
          <w:rFonts w:ascii="Arial" w:hAnsi="Arial" w:cs="Arial"/>
          <w:color w:val="000000" w:themeColor="text1"/>
          <w:sz w:val="24"/>
          <w:szCs w:val="24"/>
          <w:shd w:val="clear" w:color="auto" w:fill="FFFFFF"/>
        </w:rPr>
        <w:t xml:space="preserve"> and lifelong learning by developing their intellectual, </w:t>
      </w:r>
      <w:r w:rsidRPr="2030048C">
        <w:rPr>
          <w:rStyle w:val="normaltextrun"/>
          <w:rFonts w:ascii="Arial" w:hAnsi="Arial" w:cs="Arial"/>
          <w:color w:val="000000" w:themeColor="text1"/>
          <w:sz w:val="24"/>
          <w:szCs w:val="24"/>
          <w:shd w:val="clear" w:color="auto" w:fill="FFFFFF"/>
        </w:rPr>
        <w:t>practical,</w:t>
      </w:r>
      <w:r w:rsidRPr="2030048C">
        <w:rPr>
          <w:rStyle w:val="normaltextrun"/>
          <w:rFonts w:ascii="Arial" w:hAnsi="Arial" w:cs="Arial"/>
          <w:color w:val="000000" w:themeColor="text1"/>
          <w:sz w:val="24"/>
          <w:szCs w:val="24"/>
          <w:shd w:val="clear" w:color="auto" w:fill="FFFFFF"/>
        </w:rPr>
        <w:t xml:space="preserve"> and key (transferable) skills</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business environment, including the economic, social, and organisational environments and marketing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data and techniques for financial and business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Work effectively in diverse environments, and with others to achieve goals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discuss and evaluate current methods for financial and management accounting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data and financial information to solve problems and / or make appropriate decisions and recommendations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Apply accounting principles, standards, and techniques to produce financial statements and financial information for use within an organisation or by those external to the organisation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detailed and critical understanding of how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Deal critically with management problems and issues in order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information literacy, particularly in the use of relevant specialist databases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Conduct themselves in a professional manner appropriate for the workplace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and Accounting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and Accounting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Information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Financial Accounting for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Management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Accountant's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and Accounting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Management Accounting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BA5507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Effective Marketing Programmes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and Accounting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Financial Accounting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CRM and Customer Success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and Accounting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01"/>
        <w:gridCol w:w="230"/>
        <w:gridCol w:w="591"/>
        <w:gridCol w:w="591"/>
        <w:gridCol w:w="591"/>
        <w:gridCol w:w="590"/>
        <w:gridCol w:w="1"/>
        <w:gridCol w:w="582"/>
        <w:gridCol w:w="591"/>
        <w:gridCol w:w="607"/>
        <w:gridCol w:w="581"/>
        <w:gridCol w:w="1"/>
        <w:gridCol w:w="582"/>
        <w:gridCol w:w="591"/>
        <w:gridCol w:w="591"/>
        <w:gridCol w:w="582"/>
        <w:gridCol w:w="60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BS5404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BA5507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BA6204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kingston.ac.uk/aboutkingstonuniversity/howtheuniversityworks/policiesandregulation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CAFD1918-7677-49C4-AD14-9F252AF40544}">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142</cp:revision>
  <dcterms:created xsi:type="dcterms:W3CDTF">2024-05-22T23:38:00Z</dcterms:created>
  <dcterms:modified xsi:type="dcterms:W3CDTF">2025-07-07T11:49:41Z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