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MPharm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Pharmacy with Biopharmaceutics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03/02/2025</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normaltextrun"/>
                <w:rFonts w:ascii="Arial" w:hAnsi="Arial" w:cs="Arial"/>
                <w:b w:val="0"/>
                <w:bCs w:val="0"/>
                <w:color w:val="000000" w:themeColor="text1" w:themeShade="FF" w:themeTint="FF"/>
                <w:sz w:val="24"/>
                <w:szCs w:val="24"/>
                <w:lang w:val="en-GB"/>
              </w:rPr>
              <w:t>Not applicable</w:t>
            </w: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Pharmacy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and City St George’s, University of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MPharm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Pharmacy with Biopharmaceutics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in Pharmacy with Biopharmaceutics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Bachelor of Science in Pharmacy with Biopharmaceutics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Higher Education in Pharmacy with Biopharmaceutics</w:t>
            </w:r>
            <w:r>
              <w:br/>
            </w:r>
            <w:r w:rsidRPr="2030048C" w:rsidR="71C545CA">
              <w:rPr>
                <w:rFonts w:ascii="Arial" w:eastAsia="Arial" w:hAnsi="Arial" w:cs="Arial"/>
                <w:b w:val="0"/>
                <w:bCs w:val="0"/>
                <w:sz w:val="24"/>
                <w:szCs w:val="24"/>
                <w:lang w:val="en-GB"/>
              </w:rPr>
              <w:t>Bachelor of Science (Hons) in Pharmacy with Biopharmaceutics   MPharmSci (Hons) in Pharmacy with Biopharmaceutics.</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UFPCY1PCY80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B233</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and City St George’s, University of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and City St George’s, University of London</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5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10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General Pharmaceutical Council (GPhC)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note: Exit awards are not accredited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Restrictions on repeat:</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Levels 4 and 5 (year 1)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A student may be permitted reassessment by repeat in a maximum of 60 credits (in total) across level 4 and 5 (year 1).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Level 5 (year 2) and Level 6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Reassessment by repeat is not permitted and a student will exit the programme.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Level 7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Reassessment by repeat is not permitted and the Programme Assessment Board will terminate the student’s registration on the MPharm Programme.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Compensation: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Compensation is not permitted.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Trailing:</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Trailing assessment is not permitted. Students cannot progress from one level to another while trailing assessments of a 30 credit or zero credit module to the next level.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Restrictions on assessment attempts: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Students must pass all elements of the Academic and Professional Skills Portfolio module at levels 5 (year 1), 5 (year 2), 6 and 7. The pass mark for the Calculation Test and the OSCE assessments will be standard set. A maximum of two attempts will be permitted for the Calculations Test assessment. A maximum of two attempts will be permitted for the OSCE assessment.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For the OSCE assessment, competence is being assessed within a specified time and therefore no extra time for each station will be permitted, although other reasonable adjustments, e.g., large font papers, coloured filters, etc could be provided.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science-based pharmacy education, with a strong foundation in cell biology, human physiology, pathological microorganisms, and the formulation of pharmaceutical dosage forms, including sustainable practices to equip students with the knowledge and skills to practise pharmacy underpinned by science.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responsible practitioners who are reflective, ethical, safe, sustainable, and inclusive.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students to uphold the expected professional attributes and standards including safeguarding, confidentiality, and sustainable practices.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to prescribe using evidence-based frameworks and manage prescribing risks.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collaborative professionals with strong communication and teamwork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Nurture leadership and management with a focus on resilience and flexibility.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Build confidence in consultations and effective communication for holistic patient care.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critical thinking, problem-solving, and decision-making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Enhance students’ ability to appraise and synthesise evidence for decision-making.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Cultivate research, technology, and quality improvement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Offer experiential and simulated learning in diagnosis, prescribing, and patient care, enabling students to apply theoretical principles in diagnosing disease and understanding pathophysiology, supplying and prescribing medicines, monitoring outcomes, and managing medical emergencies.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Promote health and address inequalities, aligned with the United Nations development goals.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Encourage personal responsibility for lifelong learning and professional development, who recognise their limitations, seek support, raise concerns and take appropriate action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Possess and apply appropriate professional skills including knowledge of laws, sustainable approaches, ethics governing the supply of medicines, and effectively interacting with patients as part of a multidisciplinary team to promote health.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multidisciplinary and inclusive working, effective leadership, professional judgement.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Apply chemical, biological, physical, and mathematical concepts to inform basic drug formulation.</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chemical and physical principles to the design and formulation of dosage forms and recognise the importance of key concepts in physiology and microbiology relevant to healthcare.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conduct and report on an independent research project, laboratory activity, an audit or service evaluation including the critique of the available primary and secondary literature related to the subject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Perform diagnostic tests, keep records, appraise data from scientific experiments and clinical trials and interpret pathology data.</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drug development process and possess basic knowledge of pre-formulation, formulation stages, and large-scale production relevant to drugs, biologics and ATMP.</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evidence-based and person-centred decision making in relation to prescribing and/or medicines optimisation, deprescribing, reconciliation and health protection and promotion through simulations and experiential learning.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Apply chemical, biological, physical and mathematical concepts as well as critical appraisal of literature using clinical guidelines and frameworks to inform treatment selection and disease management as part of a holistic decision-making process.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basic and fundamental concepts underlying drugs' bioavailability and pharmacokinetics in determining drug action and side effects.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Optimise, select and prescribe medications safely and in a cost-effective manner while managing risks and follow up of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Evaluate available formulations to recommend or prescribe individualised treatment considering efficacy, safety, patient choice and suitability.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underlying principles of anatomy, cell biology, physiology, and pharmacology to better understand disease progression and treatment, while explaining the physiological and practical principles that underpin diagnostic tests used to monitor patient health and the interpretation of results.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competence and ability to practise within all areas safely, including calculations, supply of medicines and prescribing while incorporating clinical governance processes.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Undertake structured and holistic consultations in partnership with patients including taking their full history, performing appropriate clinical assessment, interpreting their results, monitoring, managing health including co-morbidities, safety netting and transfer of care and communicating effectively.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Discuss the main considerations in health promotion and public health and describe key theories in health and how they support the development of public policy, whilst addressing the UN Sustainability Goals and viewing problems from diverse perspectives to find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Conduct effective holistic and inclusive consultations using prescribing attributes and diagnostic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Document and endorse clinical skills and learning achieved through placements and simulated sessions in an e-portfolio that demonstrates their ability to reflect, set goals and take action in relation to their own development and future plans.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1"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Evaluate the aetiology and treatment of various diseases when dealing with case scenarios.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 as available on Canvas.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course contains no optional modules. All modules need to be completed and passed to progress.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MPharm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Pharmacy with Biopharmaceutics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MPharm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Pharmacy with Biopharmaceutics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Academic and Professional Skills Portfolio</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PY4110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Basic Pharmaceutics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PY4160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 Chemistry for Pharmacy and Pharmaceutical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PY4130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Fundamentals of Human Physiology and Infection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PY4150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ind w:left="135"/>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Progression to level 5 requires a pass in all 4 modules. </w:t>
      </w:r>
    </w:p>
    <w:p w:rsidR="7A33046F" w:rsidRPr="2030048C" w:rsidP="2030048C">
      <w:pPr>
        <w:ind w:left="135"/>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MPharm (Hons)</w:t>
            </w:r>
            <w:r w:rsidRPr="2030048C">
              <w:rPr>
                <w:rFonts w:ascii="Arial" w:eastAsia="Arial" w:hAnsi="Arial" w:cs="Arial"/>
                <w:b/>
                <w:bCs/>
                <w:lang w:val="en-GB"/>
              </w:rPr>
              <w:t xml:space="preserve"> </w:t>
            </w:r>
            <w:r w:rsidRPr="2030048C">
              <w:rPr>
                <w:rFonts w:ascii="Arial" w:eastAsia="Arial" w:hAnsi="Arial" w:cs="Arial"/>
                <w:b/>
                <w:bCs/>
                <w:lang w:val="en-GB"/>
              </w:rPr>
              <w:t>Pharmacy with Biopharmaceutics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ACADEMIC AND PROFESSIONAL SKILLS PORTFOLIO MODULE LEVEL 5</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ACADEMIC PORTFOLIO MODULE LEVEL 5</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PY5100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See Module Descriptor</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Approaches to Pharmaceutical Manufacturing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PY5141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Cardiorespiratory and Endocrine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PY5041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Clinical Skills 1</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Drug Design, Delivery and Quality Control</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Fundamentals of cell and human physiology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PY5131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Pharmacy Law, Ethics and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PY5111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The Central Nervous System, Gastrointestinal  Tract and Immunology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PY5051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D"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Wellbeing and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PY5121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ind w:left="135"/>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w:t>
      </w:r>
      <w:r w:rsidRPr="2030048C">
        <w:rPr>
          <w:rStyle w:val="normaltextrun"/>
          <w:rFonts w:ascii="Arial" w:eastAsia="Arial" w:hAnsi="Arial" w:cs="Arial"/>
          <w:color w:val="000000" w:themeColor="text1" w:themeShade="FF" w:themeTint="FF"/>
          <w:sz w:val="24"/>
          <w:szCs w:val="24"/>
        </w:rPr>
        <w:t xml:space="preserve"> to level 5 (Year 2) requires a pass in all 6 modules </w:t>
      </w:r>
    </w:p>
    <w:p w:rsidR="3891A81D" w:rsidRPr="2030048C" w:rsidP="2030048C">
      <w:pPr>
        <w:ind w:left="135"/>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w:t>
      </w:r>
    </w:p>
    <w:p w:rsidR="3891A81D" w:rsidRPr="2030048C" w:rsidP="2030048C">
      <w:pPr>
        <w:ind w:left="135"/>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a pass in all 5 modules from level 5 (year 2)</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MPharm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Pharmacy with Biopharmaceutics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ACADEMIC &amp; PROFESSIONAL SKILLS PORTFOLIO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Skills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Endocrine, The Eye, Reproduction and Inflammation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Infection, Immunology, Haematology and Cancer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Neurology, Mental Health and Cardiovascular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PY6151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7 requires a pass in all modules at level 6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60 credits at level 6 are eligible for the award of Bachelor of Science (Ordinary Degree) .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Bachelor of Science (Hons) .  </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MPharm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Pharmacy with Biopharmaceutics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ACADEMIC AND PROFESSIONAL SKILLS PORTFOLIO MODULE LEVEL 7</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PY7000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Clinical skills and Leadership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PY7021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Integrated and Holistic Therapeutics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PY7011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PY7031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To be awarded the MPharm requires a pass in all Level 7 modules</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fail to meet the MPharm assessment requirements at this point but have successfully completed 120 credits at Level 7 under the University’s Undergraduate Regulations (UR) are eligible for the award of MPharmSci.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fail to meet the MPharm pass requirements and fail to achieve 120 level 7 credits under undergraduate regulations will be awarded the highest exit award available to them.</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Pharmacy with Biopharmaceutics course uses a variety of teaching and learning methods designed to support students’ development and achievement of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Aligned with the General Pharmaceutical Council (GPhC) Standards of Initial Education and Training for pharmacists, the course combines theory and practice, ensuring students gain essential pharmacy knowledge, clinical skills, and professionalism.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are delivered through a combination of scheduled activities and guided independent study. Scheduled Learning and Teaching includes the following, and the format for each module is set out in the module specification which include laboratory sessions, lectures, seminars, tutorials, workshops, simulations and placements.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is committed to addressing at least two United Nations Sustainable Development Goals (UN SDGs), ensuring students are empowered with the knowledge and skills to tackle global health challenges. Sustainability and inclusivity are embedded throughout the curriculum, enabling students to address issues such as health inequalities and promoting wellbeing for all.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embeds synoptic assessments at each level to integrate knowledge from multiple modules. These assessments, such as OSCEs, calculation tests, and synoptic exams, ensure students demonstrate safe prescribing and person-centred care. An e-portfolio, required at each level, records competencies gained through placements and reflective learning, essential for progression and graduation.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programme structure.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personalised academic and pastoral support throughout their journey at Kingston with regular meetings throughout the year. Personal tutors help develop students’ ability to be self-reliant and self-reflective by fostering a close and engaged academic relationship with students.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university placement tutor to ensure students understand how to prepare for placements and what needs to be completed during - placements.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designated placement supervisor on site to ensure that students have guidance and support during the placement and related activities.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An induction week at the beginning of each new academic year including a session to describe and explain progression through the course.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Voice Committee – giving all students the opportunity to feedback via course representatives.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intranet and learning environment.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Academic Success Centre that provides academic skills support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 Mental health and disability team that offers drop-in appointments and online support guide from the Student Health and Wellbeing service.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Kingston Students’ Union </w:t>
      </w:r>
    </w:p>
    <w:p w:rsidRPr="2030048C" w:rsidP="2030048C">
      <w:pPr>
        <w:numPr>
          <w:ilvl w:val="0"/>
          <w:numId w:val="28"/>
        </w:numPr>
        <w:ind w:left="720" w:hanging="360"/>
        <w:jc w:val="left"/>
        <w:rPr>
          <w:rFonts w:ascii="Arial" w:eastAsia="Arial" w:hAnsi="Arial" w:cs="Arial"/>
          <w:sz w:val="24"/>
          <w:szCs w:val="24"/>
          <w:lang w:val="en-US" w:eastAsia="en-US"/>
        </w:rPr>
      </w:pPr>
      <w:r w:rsidRPr="2030048C">
        <w:rPr>
          <w:rFonts w:ascii="Arial" w:eastAsia="Arial" w:hAnsi="Arial" w:cs="Arial"/>
          <w:sz w:val="24"/>
          <w:szCs w:val="24"/>
          <w:lang w:val="en-US" w:eastAsia="en-US"/>
        </w:rPr>
        <w:t>Careers and Employability Service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Students are encouraged to join the Royal Pharmaceutical Society (RPS) as a student member which is free and gives them access to a wide range of resources.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KUPSA (Kingston University Pharmacy Students’ Association), offers wellbeing support, social events and professional development opportunities to fellow students. </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BPSA (British Pharmaceutical Students’ Association), the official student body of the Royal Pharmaceutical Society, offers free full membership to undergraduates and first year graduates students. BPSA members are also members of the European Pharmaceutical Students’ Association (EPSA) and International Pharmaceutical Students’ Federation (IPSF).  Students can get involved in the profession, attend national and international conferences.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NAVIGATE, EXPLORE and APPLY workshops to support students in their learning.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New simulation units and placements encapsulating experiential learning.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E-learning packages such as SCRIPT and MyDispense to increase accessibility.  </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Students are encouraged to use LinkedIn Learning for personal development.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3D0EBCB8"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School Education Committee </w:t>
      </w:r>
    </w:p>
    <w:p w:rsidR="3D0EBCB8" w:rsidRPr="2030048C" w:rsidP="2030048C">
      <w:pPr>
        <w:numPr>
          <w:ilvl w:val="0"/>
          <w:numId w:val="3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Continuous Enhancement Process (KCEP) </w:t>
      </w:r>
    </w:p>
    <w:p w:rsidR="3D0EBCB8" w:rsidRPr="2030048C" w:rsidP="2030048C">
      <w:pPr>
        <w:numPr>
          <w:ilvl w:val="0"/>
          <w:numId w:val="3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40"/>
        </w:numPr>
        <w:ind w:left="720" w:hanging="360"/>
        <w:jc w:val="left"/>
        <w:rPr>
          <w:rFonts w:ascii="Arial" w:eastAsia="Arial" w:hAnsi="Arial" w:cs="Arial"/>
          <w:sz w:val="24"/>
          <w:szCs w:val="24"/>
        </w:rPr>
      </w:pPr>
      <w:r w:rsidRPr="2030048C">
        <w:rPr>
          <w:rFonts w:ascii="Arial" w:eastAsia="Arial" w:hAnsi="Arial" w:cs="Arial"/>
          <w:sz w:val="24"/>
          <w:szCs w:val="24"/>
        </w:rPr>
        <w:t>GPhC reaccreditation on a regular basis including interim practice visits. </w:t>
      </w:r>
    </w:p>
    <w:p w:rsidR="3D0EBCB8" w:rsidRPr="2030048C" w:rsidP="2030048C">
      <w:pPr>
        <w:numPr>
          <w:ilvl w:val="0"/>
          <w:numId w:val="41"/>
        </w:numPr>
        <w:ind w:left="720" w:hanging="360"/>
        <w:jc w:val="left"/>
        <w:rPr>
          <w:rFonts w:ascii="Arial" w:eastAsia="Arial" w:hAnsi="Arial" w:cs="Arial"/>
          <w:sz w:val="24"/>
          <w:szCs w:val="24"/>
        </w:rPr>
      </w:pPr>
      <w:r w:rsidRPr="2030048C">
        <w:rPr>
          <w:rFonts w:ascii="Arial" w:eastAsia="Arial" w:hAnsi="Arial" w:cs="Arial"/>
          <w:sz w:val="24"/>
          <w:szCs w:val="24"/>
        </w:rPr>
        <w:t>Stakeholder meetings to inform the design and ongoing developments of the programme (Advisory Board) </w:t>
      </w:r>
    </w:p>
    <w:p w:rsidR="3D0EBCB8" w:rsidRPr="2030048C" w:rsidP="2030048C">
      <w:pPr>
        <w:numPr>
          <w:ilvl w:val="0"/>
          <w:numId w:val="42"/>
        </w:numPr>
        <w:ind w:left="720" w:hanging="360"/>
        <w:jc w:val="left"/>
        <w:rPr>
          <w:rFonts w:ascii="Arial" w:eastAsia="Arial" w:hAnsi="Arial" w:cs="Arial"/>
          <w:sz w:val="24"/>
          <w:szCs w:val="24"/>
        </w:rPr>
      </w:pPr>
      <w:r w:rsidRPr="2030048C">
        <w:rPr>
          <w:rFonts w:ascii="Arial" w:eastAsia="Arial" w:hAnsi="Arial" w:cs="Arial"/>
          <w:sz w:val="24"/>
          <w:szCs w:val="24"/>
        </w:rPr>
        <w:t>Quality assurance of placement providers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The General Pharmaceutical Council (GPhC):  </w:t>
      </w:r>
    </w:p>
    <w:p w:rsidRPr="2030048C" w:rsidP="2030048C">
      <w:pPr>
        <w:rPr>
          <w:rFonts w:ascii="Arial" w:eastAsia="Arial" w:hAnsi="Arial" w:cs="Arial"/>
          <w:sz w:val="24"/>
          <w:szCs w:val="24"/>
        </w:rPr>
      </w:pPr>
      <w:hyperlink r:id="rId11" w:tgtFrame="_blank" w:history="1">
        <w:r w:rsidRPr="2030048C">
          <w:rPr>
            <w:rFonts w:ascii="Arial" w:eastAsia="Arial" w:hAnsi="Arial" w:cs="Arial"/>
            <w:sz w:val="24"/>
            <w:szCs w:val="24"/>
          </w:rPr>
          <w:t>https://www.pharmacyregulation.org/</w:t>
        </w:r>
      </w:hyperlink>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Pharmacists’ initial education and training of pharmacists’ standards: </w:t>
      </w:r>
    </w:p>
    <w:p w:rsidRPr="2030048C" w:rsidP="2030048C">
      <w:pPr>
        <w:rPr>
          <w:rFonts w:ascii="Arial" w:eastAsia="Arial" w:hAnsi="Arial" w:cs="Arial"/>
          <w:sz w:val="24"/>
          <w:szCs w:val="24"/>
        </w:rPr>
      </w:pPr>
      <w:hyperlink r:id="rId12" w:tgtFrame="_blank" w:history="1">
        <w:r w:rsidRPr="2030048C">
          <w:rPr>
            <w:rFonts w:ascii="Arial" w:eastAsia="Arial" w:hAnsi="Arial" w:cs="Arial"/>
            <w:sz w:val="24"/>
            <w:szCs w:val="24"/>
          </w:rPr>
          <w:t>https://www.pharmacyregulation.org/initial-training</w:t>
        </w:r>
      </w:hyperlink>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683"/>
        <w:gridCol w:w="142"/>
        <w:gridCol w:w="1"/>
        <w:gridCol w:w="355"/>
        <w:gridCol w:w="1"/>
        <w:gridCol w:w="355"/>
        <w:gridCol w:w="1"/>
        <w:gridCol w:w="355"/>
        <w:gridCol w:w="1"/>
        <w:gridCol w:w="354"/>
        <w:gridCol w:w="1"/>
        <w:gridCol w:w="1"/>
        <w:gridCol w:w="355"/>
        <w:gridCol w:w="1"/>
        <w:gridCol w:w="355"/>
        <w:gridCol w:w="1"/>
        <w:gridCol w:w="355"/>
        <w:gridCol w:w="1"/>
        <w:gridCol w:w="355"/>
        <w:gridCol w:w="1"/>
        <w:gridCol w:w="355"/>
        <w:gridCol w:w="1"/>
        <w:gridCol w:w="355"/>
        <w:gridCol w:w="1"/>
        <w:gridCol w:w="355"/>
        <w:gridCol w:w="1"/>
        <w:gridCol w:w="355"/>
        <w:gridCol w:w="1"/>
        <w:gridCol w:w="355"/>
        <w:gridCol w:w="1"/>
        <w:gridCol w:w="353"/>
        <w:gridCol w:w="2"/>
        <w:gridCol w:w="1"/>
        <w:gridCol w:w="355"/>
        <w:gridCol w:w="1"/>
        <w:gridCol w:w="355"/>
        <w:gridCol w:w="1"/>
        <w:gridCol w:w="355"/>
        <w:gridCol w:w="1"/>
        <w:gridCol w:w="355"/>
        <w:gridCol w:w="1"/>
        <w:gridCol w:w="352"/>
        <w:gridCol w:w="3"/>
        <w:gridCol w:w="1"/>
        <w:gridCol w:w="355"/>
        <w:gridCol w:w="1"/>
        <w:gridCol w:w="355"/>
        <w:gridCol w:w="1"/>
        <w:gridCol w:w="355"/>
        <w:gridCol w:w="1"/>
        <w:gridCol w:w="35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2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PY4110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PY4160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PY4150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PY4130</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PY5100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PY5121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PY5021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PY5141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PY5131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PY5111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PY5051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PY5041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PY6151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PY6021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PY6031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PY7000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PY7011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PY7031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PY7021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hybridMultilevel"/>
    <w:tmpl w:val="74989B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4989B20"/>
    <w:multiLevelType w:val="hybridMultilevel"/>
    <w:tmpl w:val="74989B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4989B21"/>
    <w:multiLevelType w:val="hybridMultilevel"/>
    <w:tmpl w:val="74989B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74989B22"/>
    <w:multiLevelType w:val="hybridMultilevel"/>
    <w:tmpl w:val="74989B2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74989B23"/>
    <w:multiLevelType w:val="hybridMultilevel"/>
    <w:tmpl w:val="74989B2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4989B24"/>
    <w:multiLevelType w:val="hybridMultilevel"/>
    <w:tmpl w:val="74989B2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pharmacyregulation.org/" TargetMode="External" /><Relationship Id="rId12" Type="http://schemas.openxmlformats.org/officeDocument/2006/relationships/hyperlink" Target="https://www.pharmacyregulation.org/initial-training"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