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06/07/2023</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GISMA University of Applied Sciences GmbH, Germany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International Business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Higher Education in International Business Management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Higher Education International Business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UFIBM1GIB20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Management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International Business Management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Higher Education in International Business Management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Higher Education International Business Management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UFIBM1GIB52</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GISMA University of Applied Sciences GmbH, Germany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GISMA University of Applied Sciences, Berlin Potsdamer St Campus, Germany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BSc (Hons) International Business Management with Foundation Year:</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English language: Academic IELTS for 5.0 overall (minimum 5.0 in writing and no other skill less than 4.5),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Academic entry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Academic: Good high school grades or equivalent (academic entry requirements may differ per country)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xml:space="preserve">BSc (Hons) International Business Management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For direct entry onto Level 4 or above: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     112-128 UCAS points (to include at least    two A-levels or equivalent           qualifications)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BTEC National:   Distinction, Merit, Merit (DMM)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 Pass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                   Five GCSEs grades 4 – 9, including           Mathematics and English Language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minimum IELTS score of 6.0 (with no element below 5.5)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International Academic entry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Academic: Good high school grades or equivalent (academic entry requirements may differ per country, in conformity to Kingston University’s admissions policy)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Or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GISMA Foundation Route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Note: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Entry is normally at Level 4 with A-level or equivalent qualifications (See section D). Transfer from a similar course is possible at Level 5 with passes in comparable Level 4 modules – but is at the discretion of the course team.  Intakes can be formed throughout the academic year.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Note: for students to progress onto Level 4, successful completion of Level 3 modules or applicable GISMA Foundation routes, is mandatory</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1"/>
                      <w:szCs w:val="21"/>
                      <w:shd w:val="clear" w:color="auto" w:fill="FFFFFF"/>
                    </w:rPr>
                    <w:t>Association for the Advancement of Collegiate Schools of Business (AACSB)</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1"/>
                      <w:szCs w:val="21"/>
                      <w:shd w:val="clear" w:color="auto" w:fill="FFFFFF"/>
                    </w:rPr>
                    <w:t>European Foundation for Management Development (EFMD)</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Variations to Undergraduate Regulations: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         All reassessment is by retake and the number of retakes is limited to 2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         Progression will be automatic, which leads to the possibility of trailing 60 credits.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         The student will be withdrawn immediately following final fail in a module, at any stage in the academic year.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Variations to Academic Framework: Use of 'options' at level 4 is permitted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course has been designed with an employer-, industry- and student- led focus and aims to develop graduates with a strong global business knowledge and skill set, with an additional emphasis on helping students to find their career path. Through the modules and the embedded skills development, it provides students with a direct line of sight to graduate roles, with options that allow students to specialise or retain a broad knowledge base.</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BSc (Hons) International Business Management programme develops students understanding of the international and cultural contexts of how to do business globally and how to work in a multicultural environment. It is attractive to students who are coming from international environments or backgrounds who wish to study in an international cohort, and home students who have a keen interest in working in an international organisation or environment.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BSc (Hons) International Business Management student will take a journey through understanding global business environments with international cases, work on data and digital business challenges relating to global functions or problems, build their understanding of service mindset in business relationships across functions of global organisations and stakeholders beyond with an emphasis on cross cultural working. They will apply their knowledge to develop effective international marketing programmes and solve world problems relating to sustainable and regenerative business together with other students internationally, analysing business and leadership challenges in multinational contexts. They will have the opportunity to build their future skills profile relevant to potential future careers including e.g., cross-cultural communications or cross-company problem solving. They can also opt to study abroad or take an international placement.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 skills required to secure and thrive in graduate-level employment, research, further study and lifelong learning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their ability to recognise their skills, evidence them and articulate them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Prepare graduates for business and management roles in all types of global organisations and sectors.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in-depth knowledge and understanding of the core elements of global business and management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opportunity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Analyze key managerial functions and focus on their application in finance, marketing, logistics, entrepreneurship, HR or data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Implement current and emerging digital and technological solutions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systematic understanding and knowledge of management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selected business disciplines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Identify business opportunities and make a difference.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global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Identify, evaluate and develop competencies and qualities to support effective</w:t>
            </w:r>
          </w:p>
          <w:p w:rsidR="3A9B68BE" w:rsidRPr="2030048C" w:rsidP="2030048C">
            <w:pPr>
              <w:pStyle w:val="paragraph"/>
              <w:spacing w:before="0" w:beforeAutospacing="0" w:after="0" w:afterAutospacing="0"/>
              <w:textAlignment w:val="baseline"/>
              <w:rPr>
                <w:rStyle w:val="normaltextrun"/>
                <w:rFonts w:ascii="Arial" w:eastAsia="Arial" w:hAnsi="Arial" w:cs="Arial"/>
                <w:sz w:val="24"/>
                <w:szCs w:val="24"/>
                <w:lang w:val="en-GB"/>
              </w:rPr>
            </w:pPr>
            <w:r w:rsidRPr="2030048C">
              <w:rPr>
                <w:rStyle w:val="normaltextrun"/>
                <w:rFonts w:ascii="Arial" w:eastAsia="Arial" w:hAnsi="Arial" w:cs="Arial"/>
                <w:sz w:val="24"/>
                <w:szCs w:val="24"/>
                <w:lang w:val="en-GB"/>
              </w:rPr>
              <w:t>interpersonal communication skills in a range of generalized and specialized contexts.</w:t>
            </w:r>
            <w:r w:rsidRPr="2030048C">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global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Conduct and present themselves in a professional manner appropriate for the global workplace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will be provided in module descriptors and module booklets.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The Foundation Year is designed to provide suitable students with a Level 3 programme that enables them to progress to degree pathways offered at GISMA University. The Foundation Year, together with its destination degree pathways, therefore, constitutes an Extended Degree Programme for students. The programme acknowledges that there are many students who have the potential to be successful at degree level but come from a diverse range of backgrounds and previous educational experiences.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distinctive from other Foundation programmes, designed for access to Higher Education, in that it is part of an extended degree programme and is tailored to correspond to various modules at Levels 4 to 6, within Kingston and GISMA Universities.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structure and content of the programme and its individual modules have been carefully designed to allow students to develop the skills and acquire the knowledge necessary to make a successful transition to their chosen related degree pathway at EQF Level 4.  Throughout the programme there is a significant focus placed upon the development of effective study skills to enable students to build their confidence in responding to a wide range of formative and summative assessment methods.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and overseas delivery the availability of option modules may vary from year to year or between teaching blocks.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GISMA modules at levels 5 and 6 that replace Kingston modules allow students to either broaden their understanding of a range of business functions or follow a more specialised pathway if they have formulated a career path to pursue.  The coherence of the course is maintained through the core modules, and all programme learning outcomes and key skills are developed through the core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Management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 Management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Creative Strategies for Work</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BS4002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BS4207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Managing Innovation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International Business.</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International Business Management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Effective Marketing Programmes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Advanced Data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Advanced Topics in Finance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BK5002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Digital Marketing Strategies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BM5011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Digital Operations and Supply Chain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BO5002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Finance for Business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BK5001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Logistics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BO5001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HRM in Context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Innovation and Data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Managing New Ventures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Managing Talent and Creativity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The Lean Start-Up</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The Marketing Professional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BM5010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in International Business.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 Management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Capstone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AUG25-08056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Global Business Practice, Operations and Trade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Work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AUG25-08055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Business and work experience through a term-long placement are an integral part of the delivery of programmes at GISMA. GISMA has a dedicated placement team to support students in their job-seeking activities.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It is the responsibility of individual students to secure their own internship or placement, but the office offers students support in all stages of the application process: from writing CVs and completing application forms to having mock interviews and assessment centre activities; giving students the opportunity to experience the competitive job application process. The Placements Team has good links with employers with positions available for students, but students are welcome to find their own placements.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The work experience enables students to apply their learning to the real-world environment in the digital industries, to reflect upon their own personal experience of working in an applied setting, to focus on aspects of this experience that they can clearly relate to theoretical concepts and to evaluate the relationship between theory and practice. Students who undertake a period of work experience often benefit from the time spent within industry, with real experience and work achievements to record on their CV, but also in gaining greater maturity, motivation and, importantly, improved marks in the final year.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pStyle w:val="Heading3"/>
        <w:jc w:val="both"/>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who attend a period of study abroad gain a great deal from the experience, particularly learning about different cultures and living in a foreign country. However, to fully benefit from this experience, students may also wish to take a short work internship when they return.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Management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 xml:space="preserve">The approach to teaching, learning and assessment supports the programme aims to ensure that graduates have the skills and knowledge to secure and thrive in graduate-level employment, research, further study, and lifelong learning.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Much of the learning and teaching is through project- and problem-based activities, wherever possible informed and or delivered by current practitioners as well as academics.  This approach also allows co-construction with students by encouraging and supporting them to grow from being “fed facts” to developing knowledge, understanding and critical skills through exploration of subjects that interest them.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industry-informed approach to teaching is further underpinned by the approach to assessment, which is, wherever possible, </w:t>
      </w:r>
      <w:r w:rsidRPr="2030048C">
        <w:rPr>
          <w:rFonts w:ascii="Arial" w:eastAsia="Arial" w:hAnsi="Arial" w:cs="Arial"/>
          <w:color w:val="000000"/>
          <w:sz w:val="24"/>
          <w:szCs w:val="24"/>
          <w:shd w:val="clear" w:color="auto" w:fill="FFFFFF"/>
        </w:rPr>
        <w:t>industry relevant and authentic – further preparing our graduates for the tasks and challenges they will face in graduate roles.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addition to those currently in practice, and practice-based staff providing students with connections to industry and the “real world”, research-active staff expose students to the latest research developments.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Assessments typically require primary and secondary research to be undertaken, ensuring students progressively develop critical thinking and information literacy skills at each level of the programme, but require presentation in a format that is industry appropriate. Assessment methods include reports, portfolios (group and individual), group design projects, presentations (group and individual), skills portfolios, placemat presentations, sales pitches, project plans, briefs, and prototype specifications and development. The latest technology is used to enhance learning and collaborative working. The assessment strategy ensures that students have explicit formative opportunities for practice and feedforward designed to help them achieve their full potential in final (summative) assessment.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Assessment loads are standardised at each level and wherever possible students will be given a choice in how they present their assessment to meet the learning outcomes.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Our rich and inclusive curriculum is continually reviewed in consultation with our students, employers and industry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Presentation skills and group learning are developed throughout the programme to emulate the real-world situations in which our students may find themselves.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use of group work develops the essential skills of working with others and thus replicates business practice of collaborative teamwork; group work is supported through class activities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To further support students, sessions led by personal tutors are integrated into modules. All Personal Tutors meet with their tutees at the beginning of each term. Students may request additional meetings at any time during the year, with the personal tutor providing or mediating for, module-level support. These sessions will focus on supporting the students in transitioning to, and from, Higher Education and develop skills for success.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Personal tutors remain with a student throughout their degree studies. Feedback received and discussed in year one will feed forward into year two, and subsequently into the final year, further enabling tutors to direct tutees to appropriate sources of support, guidance and development.  Personal tutors will also be able to support students in discussions around their potential career path supported by their ePortfolio.</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International Business programme has integrated the principles of the University’s Inclusive Curriculum Framework, to ensure inclusivity has been embedded throughout the academic cycle. Examples of these approaches include: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Assessments and delivery patterns that support students who commute</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 xml:space="preserve">Students are co-creators of the assessment data – for example creating and answering surveys that are used within analytics assessments, and choosing to illustrate marketing concepts and lead discussion in the classroom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Case studies and role models used in assessments reflect the diverse student body</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Teaching spaces, when appropriate, are set up in a carousel arrangement, so students are naturally positioned to discuss concepts in an inclusive manner</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assessments.</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At Gisma University, we're passionate about enhancing our students' life chances by helping them make the most of their learning opportunities and equipping them with the future skills and knowledge needed in the 21st Century's demanding workplace. The development of Kingston University’s Future Skills principles are ingrained throughout every year of every course, ensuring you learn employability enhancing skills with your subject. Adaptability, collaboration, creative problem solving, digital competency, empathy, enterprising, questioning mindset, resilience and self-awareness are among the skills which you will be asked to prepare for, practice, be assessed and reflect on every term, alongside learning objectives relevant to each module you are taught. In every run, you will develop your expertise, personalise your learning and demonstrate the skills you've gained.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Students have two </w:t>
      </w:r>
      <w:r w:rsidRPr="2030048C">
        <w:rPr>
          <w:rFonts w:ascii="Arial" w:eastAsia="Arial" w:hAnsi="Arial" w:cs="Arial"/>
          <w:b/>
          <w:bCs/>
          <w:sz w:val="24"/>
          <w:szCs w:val="24"/>
        </w:rPr>
        <w:t>reassessment</w:t>
      </w:r>
      <w:r w:rsidRPr="2030048C">
        <w:rPr>
          <w:rFonts w:ascii="Arial" w:eastAsia="Arial" w:hAnsi="Arial" w:cs="Arial"/>
          <w:sz w:val="24"/>
          <w:szCs w:val="24"/>
        </w:rPr>
        <w:t xml:space="preserve"> opportunities per module in this degree. </w:t>
      </w:r>
      <w:r w:rsidRPr="2030048C">
        <w:rPr>
          <w:rFonts w:ascii="Arial" w:eastAsia="Arial" w:hAnsi="Arial" w:cs="Arial"/>
          <w:b/>
          <w:bCs/>
          <w:sz w:val="24"/>
          <w:szCs w:val="24"/>
        </w:rPr>
        <w:t xml:space="preserve">Progression </w:t>
      </w:r>
      <w:r w:rsidRPr="2030048C">
        <w:rPr>
          <w:rFonts w:ascii="Arial" w:eastAsia="Arial" w:hAnsi="Arial" w:cs="Arial"/>
          <w:sz w:val="24"/>
          <w:szCs w:val="24"/>
        </w:rPr>
        <w:t xml:space="preserve">from level 4  to level 5 requires attainment of at least 60 credits at Level 4. Progression from level 5 to level 6 requires attainment of at least 60 credits at level 5.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following modules at levels 4 and 5 will be assessed as </w:t>
      </w:r>
      <w:r w:rsidRPr="2030048C">
        <w:rPr>
          <w:rFonts w:ascii="Arial" w:eastAsia="Arial" w:hAnsi="Arial" w:cs="Arial"/>
          <w:b/>
          <w:bCs/>
          <w:sz w:val="24"/>
          <w:szCs w:val="24"/>
        </w:rPr>
        <w:t>Pass/Fail</w:t>
      </w:r>
      <w:r w:rsidRPr="2030048C">
        <w:rPr>
          <w:rFonts w:ascii="Arial" w:eastAsia="Arial" w:hAnsi="Arial" w:cs="Arial"/>
          <w:sz w:val="24"/>
          <w:szCs w:val="24"/>
        </w:rPr>
        <w:t xml:space="preserve"> modules, meaning no percentile mark is to be assigned: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Managing Innovation</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Creative Strategies for Work</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Finance for Business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Advanced Topics in Finance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Global Logistics Management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Digital Operations and Supply Chain</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The Marketing Professional</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Digital Marketing Strategies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The Lean Start-up</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Managing New Ventures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HRM in Context</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Managing Talent and Creativity</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Innovation and Data Science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Advanced Data Science</w:t>
      </w:r>
    </w:p>
    <w:p w:rsidRPr="2030048C" w:rsidP="2030048C">
      <w:pPr>
        <w:jc w:val="both"/>
        <w:rPr>
          <w:rFonts w:ascii="Arial" w:eastAsia="Arial" w:hAnsi="Arial" w:cs="Arial"/>
          <w:sz w:val="24"/>
          <w:szCs w:val="24"/>
        </w:rPr>
      </w:pPr>
      <w:r w:rsidRPr="2030048C">
        <w:rPr>
          <w:rFonts w:ascii="Arial" w:eastAsia="Arial" w:hAnsi="Arial" w:cs="Arial"/>
          <w:b/>
          <w:bCs/>
          <w:sz w:val="24"/>
          <w:szCs w:val="24"/>
        </w:rPr>
        <w:t>Degree classification</w:t>
      </w:r>
      <w:r w:rsidRPr="2030048C">
        <w:rPr>
          <w:rFonts w:ascii="Arial" w:eastAsia="Arial" w:hAnsi="Arial" w:cs="Arial"/>
          <w:sz w:val="24"/>
          <w:szCs w:val="24"/>
        </w:rPr>
        <w:t xml:space="preserve"> is to be calculated as follows: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average % of the best 60 credits at Level 5 which is given a weighting of 20% (multiplied by 0.2)</w:t>
      </w:r>
    </w:p>
    <w:p w:rsidRPr="2030048C" w:rsidP="2030048C">
      <w:pPr>
        <w:jc w:val="both"/>
        <w:rPr>
          <w:rFonts w:ascii="Arial" w:eastAsia="Arial" w:hAnsi="Arial" w:cs="Arial"/>
          <w:sz w:val="24"/>
          <w:szCs w:val="24"/>
        </w:rPr>
      </w:pPr>
      <w:r w:rsidRPr="2030048C">
        <w:rPr>
          <w:rFonts w:ascii="Arial" w:eastAsia="Arial" w:hAnsi="Arial" w:cs="Arial"/>
          <w:sz w:val="24"/>
          <w:szCs w:val="24"/>
        </w:rPr>
        <w:t>plus</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 xml:space="preserve">average % of the best 105 credits at Level 6 which is given a weighting of 80% (multiplied by 0.8).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Where there are four 30-credit modules, each module is treated as two blocks of 15 credits for the purposes of the calculation.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 xml:space="preserve">A Personal Tutor. Each student will have their own personal tutor who will normally stay with them throughout their course. The tutor will instigate regular meetings throughout the student’s time at university, providing support, guidance and encouragement to their tutees throughout the programme. Topics such as academic performance, future career aims and the tutee’s personal learning journey will be discussed.  Tutors not only support academic performance but also are there to listen to non-academic concerns such as adapting to a new environment/country, family concerns, illness or homesickness. They are also there to help celebrate success. Personal tutors are a great resource for international students, giving them a named academic who will be able to direct them to relevant services and procedures. </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 xml:space="preserve">A Course Director. The Course Director helps students to understand the programme structure, the academic regulations and what is required at the various levels of study.  </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A Student Administrative Support team. The student support team helps with general administrative aspects such as timetables issues and providing letters.</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An Academic Learning Centre. The ALC can provide advice and guidance on academic matters  and hold one-to-one or group sessions to support students in enhancing their study skills.</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 xml:space="preserve">The </w:t>
      </w:r>
      <w:hyperlink r:id="rId12" w:history="1">
        <w:r w:rsidRPr="2030048C">
          <w:rPr>
            <w:rFonts w:ascii="Arial" w:eastAsia="Arial" w:hAnsi="Arial" w:cs="Arial"/>
            <w:sz w:val="24"/>
            <w:szCs w:val="24"/>
          </w:rPr>
          <w:t>Careers Centre</w:t>
        </w:r>
      </w:hyperlink>
      <w:r w:rsidRPr="2030048C">
        <w:rPr>
          <w:rFonts w:ascii="Arial" w:eastAsia="Arial" w:hAnsi="Arial" w:cs="Arial"/>
          <w:sz w:val="24"/>
          <w:szCs w:val="24"/>
        </w:rPr>
        <w:t xml:space="preserve"> provides valuable guidance which develop students’ professional skills, supporting them with internships and/or placements and organising careers events.</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Student mentors. Mentors are students who have previously studied the modules and provide support and mentoring to newer students.</w:t>
      </w:r>
    </w:p>
    <w:p w:rsidRPr="2030048C" w:rsidP="2030048C">
      <w:pPr>
        <w:numPr>
          <w:ilvl w:val="0"/>
          <w:numId w:val="19"/>
        </w:numPr>
        <w:ind w:left="720" w:hanging="360"/>
        <w:jc w:val="both"/>
        <w:rPr>
          <w:rFonts w:ascii="Arial" w:eastAsia="Arial" w:hAnsi="Arial" w:cs="Arial"/>
          <w:sz w:val="24"/>
          <w:szCs w:val="24"/>
        </w:rPr>
      </w:pPr>
      <w:hyperlink r:id="rId13" w:history="1">
        <w:r w:rsidRPr="2030048C">
          <w:rPr>
            <w:rFonts w:ascii="Arial" w:eastAsia="Arial" w:hAnsi="Arial" w:cs="Arial"/>
            <w:sz w:val="24"/>
            <w:szCs w:val="24"/>
          </w:rPr>
          <w:t>Technical support with IT</w:t>
        </w:r>
      </w:hyperlink>
      <w:r w:rsidRPr="2030048C">
        <w:rPr>
          <w:rFonts w:ascii="Arial" w:eastAsia="Arial" w:hAnsi="Arial" w:cs="Arial"/>
          <w:sz w:val="24"/>
          <w:szCs w:val="24"/>
        </w:rPr>
        <w:t xml:space="preserve"> and the use of software.</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An induction period at the start of the programme to introduce students to the university, university life, what is expected of them, the degree programme and each other.</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Ongoing re-induction sessions at appropriate points in the course.</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 xml:space="preserve">Access to </w:t>
      </w:r>
      <w:hyperlink r:id="rId14" w:history="1">
        <w:r w:rsidRPr="2030048C">
          <w:rPr>
            <w:rFonts w:ascii="Arial" w:eastAsia="Arial" w:hAnsi="Arial" w:cs="Arial"/>
            <w:sz w:val="24"/>
            <w:szCs w:val="24"/>
          </w:rPr>
          <w:t>English language support</w:t>
        </w:r>
      </w:hyperlink>
      <w:r w:rsidRPr="2030048C">
        <w:rPr>
          <w:rFonts w:ascii="Arial" w:eastAsia="Arial" w:hAnsi="Arial" w:cs="Arial"/>
          <w:sz w:val="24"/>
          <w:szCs w:val="24"/>
        </w:rPr>
        <w:t xml:space="preserve">, which is particularly useful for international students who do not have English as their first language, and to foreign language tuition via the </w:t>
      </w:r>
      <w:hyperlink r:id="rId15" w:history="1">
        <w:r w:rsidRPr="2030048C">
          <w:rPr>
            <w:rFonts w:ascii="Arial" w:eastAsia="Arial" w:hAnsi="Arial" w:cs="Arial"/>
            <w:sz w:val="24"/>
            <w:szCs w:val="24"/>
          </w:rPr>
          <w:t>GISMA</w:t>
        </w:r>
      </w:hyperlink>
      <w:r w:rsidRPr="2030048C">
        <w:rPr>
          <w:rStyle w:val="MsoHyperlink"/>
          <w:rFonts w:ascii="Arial" w:eastAsia="Arial" w:hAnsi="Arial" w:cs="Arial"/>
          <w:color w:val="0000FF"/>
          <w:sz w:val="24"/>
          <w:szCs w:val="24"/>
          <w:u w:val="single" w:color="0000FF"/>
        </w:rPr>
        <w:t xml:space="preserve"> Language School.</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Staff Student Liaison Committee and course representatives to enable students to feed back to staff about the programme.</w:t>
      </w:r>
    </w:p>
    <w:p w:rsidRPr="2030048C" w:rsidP="2030048C">
      <w:pPr>
        <w:numPr>
          <w:ilvl w:val="0"/>
          <w:numId w:val="19"/>
        </w:numPr>
        <w:ind w:left="720" w:hanging="360"/>
        <w:jc w:val="both"/>
        <w:rPr>
          <w:rFonts w:ascii="Arial" w:eastAsia="Arial" w:hAnsi="Arial" w:cs="Arial"/>
          <w:sz w:val="24"/>
          <w:szCs w:val="24"/>
        </w:rPr>
      </w:pPr>
      <w:hyperlink r:id="rId16" w:history="1">
        <w:r w:rsidRPr="2030048C">
          <w:rPr>
            <w:rFonts w:ascii="Arial" w:eastAsia="Arial" w:hAnsi="Arial" w:cs="Arial"/>
            <w:sz w:val="24"/>
            <w:szCs w:val="24"/>
          </w:rPr>
          <w:t>Canvas</w:t>
        </w:r>
      </w:hyperlink>
      <w:r w:rsidRPr="2030048C">
        <w:rPr>
          <w:rFonts w:ascii="Arial" w:eastAsia="Arial" w:hAnsi="Arial" w:cs="Arial"/>
          <w:sz w:val="24"/>
          <w:szCs w:val="24"/>
        </w:rPr>
        <w:t xml:space="preserve"> – a versatile on-line interactive intranet and learning environment.</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 xml:space="preserve">Student support facilities that provide advice on issues including </w:t>
      </w:r>
      <w:hyperlink r:id="rId17" w:history="1">
        <w:r w:rsidRPr="2030048C">
          <w:rPr>
            <w:rFonts w:ascii="Arial" w:eastAsia="Arial" w:hAnsi="Arial" w:cs="Arial"/>
            <w:sz w:val="24"/>
            <w:szCs w:val="24"/>
          </w:rPr>
          <w:t>finance</w:t>
        </w:r>
      </w:hyperlink>
      <w:r w:rsidRPr="2030048C">
        <w:rPr>
          <w:rFonts w:ascii="Arial" w:eastAsia="Arial" w:hAnsi="Arial" w:cs="Arial"/>
          <w:sz w:val="24"/>
          <w:szCs w:val="24"/>
        </w:rPr>
        <w:t xml:space="preserve">, </w:t>
      </w:r>
      <w:hyperlink r:id="rId11" w:anchor="ar" w:history="1">
        <w:r w:rsidRPr="2030048C">
          <w:rPr>
            <w:rFonts w:ascii="Arial" w:eastAsia="Arial" w:hAnsi="Arial" w:cs="Arial"/>
            <w:sz w:val="24"/>
            <w:szCs w:val="24"/>
          </w:rPr>
          <w:t>regulations</w:t>
        </w:r>
      </w:hyperlink>
      <w:r w:rsidRPr="2030048C">
        <w:rPr>
          <w:rFonts w:ascii="Arial" w:eastAsia="Arial" w:hAnsi="Arial" w:cs="Arial"/>
          <w:sz w:val="24"/>
          <w:szCs w:val="24"/>
        </w:rPr>
        <w:t xml:space="preserve">, </w:t>
      </w:r>
      <w:hyperlink r:id="rId18" w:history="1">
        <w:r w:rsidRPr="2030048C">
          <w:rPr>
            <w:rFonts w:ascii="Arial" w:eastAsia="Arial" w:hAnsi="Arial" w:cs="Arial"/>
            <w:sz w:val="24"/>
            <w:szCs w:val="24"/>
          </w:rPr>
          <w:t>accommodation</w:t>
        </w:r>
      </w:hyperlink>
      <w:r w:rsidRPr="2030048C">
        <w:rPr>
          <w:rFonts w:ascii="Arial" w:eastAsia="Arial" w:hAnsi="Arial" w:cs="Arial"/>
          <w:sz w:val="24"/>
          <w:szCs w:val="24"/>
        </w:rPr>
        <w:t xml:space="preserve"> and </w:t>
      </w:r>
      <w:hyperlink r:id="rId19" w:history="1">
        <w:r w:rsidRPr="2030048C">
          <w:rPr>
            <w:rFonts w:ascii="Arial" w:eastAsia="Arial" w:hAnsi="Arial" w:cs="Arial"/>
            <w:sz w:val="24"/>
            <w:szCs w:val="24"/>
          </w:rPr>
          <w:t>international student support</w:t>
        </w:r>
      </w:hyperlink>
      <w:r w:rsidRPr="2030048C">
        <w:rPr>
          <w:rFonts w:ascii="Arial" w:eastAsia="Arial" w:hAnsi="Arial" w:cs="Arial"/>
          <w:sz w:val="24"/>
          <w:szCs w:val="24"/>
        </w:rPr>
        <w:t>.</w:t>
      </w:r>
    </w:p>
    <w:p w:rsidRPr="2030048C" w:rsidP="2030048C">
      <w:pPr>
        <w:rPr>
          <w:rFonts w:ascii="Arial" w:eastAsia="Arial" w:hAnsi="Arial" w:cs="Arial"/>
          <w:sz w:val="24"/>
          <w:szCs w:val="24"/>
        </w:rPr>
      </w:pPr>
      <w:r w:rsidRPr="2030048C">
        <w:rPr>
          <w:rFonts w:ascii="Arial" w:eastAsia="Arial" w:hAnsi="Arial" w:cs="Arial"/>
          <w:sz w:val="24"/>
          <w:szCs w:val="24"/>
        </w:rPr>
        <w:t xml:space="preserve">International students also have the additional benefit of the University’s International Office which supports students for and welcomes students to, Germanyand provides support throughout the student’s time at University.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90"/>
        <w:gridCol w:w="291"/>
        <w:gridCol w:w="735"/>
        <w:gridCol w:w="735"/>
        <w:gridCol w:w="767"/>
        <w:gridCol w:w="735"/>
        <w:gridCol w:w="746"/>
        <w:gridCol w:w="767"/>
        <w:gridCol w:w="682"/>
        <w:gridCol w:w="682"/>
        <w:gridCol w:w="746"/>
        <w:gridCol w:w="73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AUG25-08055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AUG25-08056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character" w:customStyle="1" w:styleId="MsoHyperlink">
    <w:name w:val="MsoHyper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kingston.ac.uk/aboutkingstonuniversity/howtheuniversityworks/policiesandregulations/" TargetMode="External" /><Relationship Id="rId12" Type="http://schemas.openxmlformats.org/officeDocument/2006/relationships/hyperlink" Target="http://jobscentral.kingston.ac.uk/" TargetMode="External" /><Relationship Id="rId13" Type="http://schemas.openxmlformats.org/officeDocument/2006/relationships/hyperlink" Target="https://www.kingston.ac.uk/information-and-technology-services/service-desk-portal/" TargetMode="External" /><Relationship Id="rId14" Type="http://schemas.openxmlformats.org/officeDocument/2006/relationships/hyperlink" Target="https://kingstonuniversity.sharepoint.com/sites/mykingston/mysupport/ELD/Pages/default.aspx" TargetMode="External" /><Relationship Id="rId15" Type="http://schemas.openxmlformats.org/officeDocument/2006/relationships/hyperlink" Target="https://www.kingston.ac.uk/kingston-language-scheme/" TargetMode="External" /><Relationship Id="rId16" Type="http://schemas.openxmlformats.org/officeDocument/2006/relationships/hyperlink" Target="http://canvas.kingston.ac.uk/" TargetMode="External" /><Relationship Id="rId17" Type="http://schemas.openxmlformats.org/officeDocument/2006/relationships/hyperlink" Target="https://kingstonuniversity.sharepoint.com/sites/mykingston/mysupport/money/Pages/default.aspx" TargetMode="External" /><Relationship Id="rId18" Type="http://schemas.openxmlformats.org/officeDocument/2006/relationships/hyperlink" Target="https://kingstonuniversity.sharepoint.com/sites/mykingston/mysupport/myaccommodation/Pages/default.aspx" TargetMode="External" /><Relationship Id="rId19" Type="http://schemas.openxmlformats.org/officeDocument/2006/relationships/hyperlink" Target="https://kingstonuniversity.sharepoint.com/sites/mykingston/mysupport/international/Pages/default.aspx"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