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Law with Professional Experience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Professional Experience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 with Professional Experience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International Law with Professional Experience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 with Professional Experience</w:t>
            </w:r>
            <w:r>
              <w:br/>
            </w:r>
            <w:r w:rsidRPr="2030048C" w:rsidR="71C545CA">
              <w:rPr>
                <w:rFonts w:ascii="Arial" w:eastAsia="Arial" w:hAnsi="Arial" w:cs="Arial"/>
                <w:b w:val="0"/>
                <w:bCs w:val="0"/>
                <w:sz w:val="24"/>
                <w:szCs w:val="24"/>
                <w:lang w:val="en-GB"/>
              </w:rPr>
              <w:t>BA (Hons) International Law</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USLLI1LLI01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3 years full-time (code M100), 4 years sandwich (with year in industry) (code M102); 4 years full-time (with year abroad) (code M103)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Kingston Hill /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Solicitors’ Regulatory Authority and Bar Standards Board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Bar Standards Board provides that: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maximum number of attempts permitted for any of the foundations of legal knowledge subjects is normally three;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 single marginal failure can be compensated in one of the foundations of legal knowledge subjects.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Therefore, contrary to Undergraduate Regulations, for students who wish to have their LLB degree recognised by the Bar Standards Board, the maximum number of attempts in core modules is 3 and compensation will only be permitted exceptionally in relation to any core module of the degree.</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LLB International Law with Professional Experience course (“Course”) has the following general aims:</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a legal education which meets the requirements of the professional bodies for recognition as a Qualifying Law Degree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develop the general transferable employability skills which graduates should be able to apply to any situation.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an introduction to the global legal arena, and to allow students to compare law in different jurisdictions.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understand the implications of areas of law that have application across the world.</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the opportunity for a period of study abroad overseas.</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the following compulsory Core modules on the Course: English Legal System, Law of Contract, Law of Tort, Public Law, Criminal Law, Law of the European Union, Land Law, and Equity and Trusts. Successful completion of these modules entitles the student to a Qualifying Law Degree (QLD).  In order to develop legal proficiency, we offer a wide range of legal specialisms in the final (Level 6) year.  These include Employment Law, International Trade Law, Company Law, Intellectual Property Law, International Criminal and Human Rights Law, Family and Child Law, Dispute Resolution, Environmental Law, and Law of Technology and Innovation.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Course also allows students to specialise in international law. At Level 5, in addition to the compulsory Core modules required for a QLD, students on the Course study International and Comparative Law as a grounding for the development of international specialisms at Level 6. These include International Criminal and Human Rights Law, Law of International Trade, Intellectual Property Law, Family and Child Law, Dispute Resolution, Environmental Law, and Employment Law. In addition, students in their final year (Level 6) of the Course undertake a dissertation, engaging in research in an area of international law.</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on the Course also develop transferable employability skills, which means the Course is also appropriate for those who may wish to pursue careers not only the legal sector but also in other professions, thus providing a wide range of career opportunities.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Course operates across three teaching blocks (Teaching Block1 October - December; Teaching Block 2 January -March; Teaching Block 3 May-July).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Teaching Block 1 (TB1) and Teaching Block 2 (TB2) focus on learning, delivery and engagement with the legal knowledge and its application required for a QLD. TB1 and TB2 for each level are made up of four modules each worth 30 credit points. Typically, a student must complete 120 credits at each level (during the first two teaching blocks).  All students are provided with the University regulations, as well as any specific additions that may be required for accreditation by outside bodies (e.g., professional, or statutory bodies that confer professional accreditation). Full details of each module are provided in module descriptors and student module guides.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TB3 focuses purely on the enhancement of the student’s employability skills, and students can do a work placement/internship.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Two defining features of the Course are: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Professional Readiness embedded in Levels 4 and 5</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Professional Experience activities in TB3 for Levels 4 and 5.</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 non-credit bearing Professional Readiness module designed to enhance students’ work-related skills is delivered across 24 weeks in TB1 and TB2 at Levels 4 and 5. </w:t>
      </w:r>
      <w:r w:rsidRPr="2030048C">
        <w:rPr>
          <w:rStyle w:val="normaltextrun"/>
          <w:rFonts w:ascii="Arial" w:hAnsi="Arial" w:cs="Arial"/>
          <w:color w:val="000000" w:themeColor="text1"/>
          <w:sz w:val="22"/>
          <w:szCs w:val="22"/>
          <w:shd w:val="clear" w:color="auto" w:fill="FFFFFF"/>
        </w:rPr>
        <w:t>The module at both levels incorporates Future Skills: through engagement with Navigate at Level 4, and through engagement with Explore at Level 5. The module introduces professional practice and ethics as well as relevant skills delivery and professional development, and</w:t>
      </w:r>
      <w:r w:rsidRPr="2030048C">
        <w:rPr>
          <w:rStyle w:val="normaltextrun"/>
          <w:rFonts w:ascii="Arial" w:hAnsi="Arial" w:cs="Arial"/>
          <w:color w:val="000000" w:themeColor="text1"/>
          <w:sz w:val="22"/>
          <w:szCs w:val="22"/>
          <w:shd w:val="clear" w:color="auto" w:fill="FFFFFF"/>
        </w:rPr>
        <w:t xml:space="preserve"> links closely with the assessment of employability skills in the Core Foundations of Legal Knowledge modules.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Professional Readiness module prepares students for professional experience activities in TB3, such as an internship. Students have the opportunity to secure an internship opportunity in TB3 at Level 4 and/or Level 5. The module also prepares students for employment on a more general level, by enabling students to apply and develop in real organisations the knowledge and skills they have learnt in the classroom, as well as enhancing the skills and attributes employers expect new recruits to possess. All placement providers are subject to due diligence and ongoing monitoring to ensure that the student experience is of a high quality, and that equality, diversity and inclusion standards are met. This applies equally to placement providers based overseas.</w:t>
      </w:r>
    </w:p>
    <w:p w:rsidRPr="2030048C" w:rsidP="2030048C">
      <w:pPr>
        <w:pStyle w:val="MediumGrid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In addition to a work placement or internship, students also have the option of studying abroad or working for a year between Levels 5 and 6. Students who attend a period of study abroad gain a great deal from the experience, particularly regarding different cultures and living in a different country. Students who do a year-long work placement gain invaluable experience, as well as the opportunity of developing employability skills, as well as having the opportunity to explore careers they may be interested in pursuing after graduation.</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Briefing sessions on the options available to students during TB3, are given during Levels 4 and 5.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lang w:val="en-US" w:eastAsia="en-US"/>
        </w:rPr>
        <w:t>This intensive and innovative Course aims to provide students, and graduates, with the self-determination they need to reach their goals, and the knowledge and skills that will serve them well in the future. S</w:t>
      </w:r>
      <w:r w:rsidRPr="2030048C">
        <w:rPr>
          <w:rStyle w:val="normaltextrun"/>
          <w:rFonts w:ascii="Arial" w:hAnsi="Arial" w:cs="Arial"/>
          <w:color w:val="000000" w:themeColor="text1"/>
          <w:sz w:val="22"/>
          <w:szCs w:val="22"/>
          <w:shd w:val="clear" w:color="auto" w:fill="FFFFFF"/>
        </w:rPr>
        <w:t xml:space="preserve">tudents are encouraged to have high aspirations, in line with high expectations of them on the LLB programme.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give students the best platform for securing employment, there is also a wide range of opportunities for students to become involved in real-world learning, through co-curricular and extra-curricular activities.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On completion of the LLB programme, Kingston Law School graduates will demonstrate not only legal knowledge, but also self-confidence, self-determination, flexibility, and inter-personal skills.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location of Kingston University means students enjoy easy access to central London, and important legal institutions, such as the Supreme Court of England and Wales, the Houses of Parliament, the Royal Courts of Justice, and the Old Bailey, which are nine miles away. Kingston-upon-Thames is an ancient settlement dating back to the Anglo-Saxon period and kings were once crowned here. In modern times, it has developed into a vibrant shopping and entertainment hub, as well as being the seat of Kingston University.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 demonstrate a knowledge of the institutions within which that law is administered and the personnel who practise that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 TeamworkBe an effective and communicative member of a teamWork as part of a teamReview and evaluate progress of groups and collective performanceIdentify ways of improving the performance of groups and their own contribution to groups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an appreciation of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 Communication SkillsContribute effectively to group discussionMake an oral presentation and be able participate in mooting scenariosRead, select, extract and collate information from written, spoken or other appropriate sourcesProduce written materials in a variety of formats using the English language at all times with scrupulous care and accuracyIncorporate in documents either tables, charts, graphs or diagramsBe able to make appropriate use of electronic communication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 and to communicate - both in writing and orally - the results of such work. Students on the American programme will have demonstrated an ability to succeed in a year of academic study in the United States of America. Students on the 4 Year Study Abroad Programme variant will have demonstrated an ability to succeed in a year of academic study in one of the countries in which the university 4 Year Programme operates.Students on the Work Placement variant will have demonstrated their ability to operate effectively in a working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intelligent critical reading of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b. NumeracyCollect data from primary and secondary sources selectivelyEvaluate and present data in suitable formatsRecord data in an appropriate formatBe able to appreciate  issues of selection, accuracy and uncertainty in the collection and analysis of data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 Information, Communication and TechnologyUse ICT to present text/numerical data and imagesProduce a document that incorporates and combines different types of informationSearch for, retrieve and store information using ICT resourcesUse on-line communications systems, including the learning management system, to obtain and send information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LLB (Hons.) with Professional Experience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Course programme is offered in full-time mode and leads to the award of LLB (Hons) International Law with Professional Experience for students achieving the full 360 credits. Credits achieved for the Professional Readiness and Professional Experience modules count towards this final award but not towards degree classification. Entry is normally at level 4 with A-level or equivalent qualifications (see section D). Intake is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 xml:space="preserve">C1.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Each level is made up of four modules, each worth 30 credit points. Typically, a student must complete 120 credits at each level. In addition, students take the Professional Readiness and Skills module in both years 1 (Level 4) and 2 (Level 5). All students are provided with the University regulations and specific additions that are sometimes required for accreditation by outside bodies (e.g., professional, or statutory bodies that confer professional accreditation). Full details of each module are provided in module descriptors and student module guides.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1"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Optional modules listed below are delivered. However, for various reasons, such as demand, the availability of Optional modules may vary from year to year, or between teaching blocks.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Professional Experience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 with Professional Experience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Level 5 requires students to have successfully passed 120 Level 4 credits (excluding the Professional Experience elements).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Law</w:t>
      </w:r>
      <w:r w:rsidRPr="2030048C">
        <w:rPr>
          <w:rStyle w:val="normaltextrun"/>
          <w:rFonts w:ascii="Arial" w:eastAsia="Arial" w:hAnsi="Arial" w:cs="Arial"/>
          <w:i/>
          <w:iCs/>
          <w:color w:val="000000" w:themeColor="text1" w:themeShade="FF" w:themeTint="FF"/>
          <w:sz w:val="22"/>
          <w:szCs w:val="22"/>
        </w:rPr>
        <w: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 with Professional Experience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Law</w:t>
      </w:r>
      <w:r w:rsidRPr="2030048C">
        <w:rPr>
          <w:rStyle w:val="normaltextrun"/>
          <w:rFonts w:ascii="Arial" w:eastAsia="Arial" w:hAnsi="Arial" w:cs="Arial"/>
          <w:i/>
          <w:iCs/>
          <w:color w:val="000000" w:themeColor="text1" w:themeShade="FF" w:themeTint="FF"/>
          <w:sz w:val="22"/>
          <w:szCs w:val="22"/>
        </w:rPr>
        <w: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 with Professional Experience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Law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Alternative 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Employment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Intellectual Property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Level 6 requires students to have successfully passed 120 Level 6 credits (to include a 30 credit Capstone module and 60 credits of Optional modules). Capstone modules are intended to allow students to synthesise and apply what they have learned on the Course. The modules are designed to help students reflect on the knowledge and skills they have acquired during their degree and learning how to present them to a wider audience, including future employers.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pass 120 credits of their taught modules (excluding the Professional Experience elements) at each of Levels 4 and 5</w:t>
      </w:r>
      <w:r w:rsidRPr="2030048C">
        <w:rPr>
          <w:rStyle w:val="normaltextrun"/>
          <w:rFonts w:ascii="Arial" w:eastAsia="Arial" w:hAnsi="Arial" w:cs="Arial"/>
          <w:color w:val="FF0000"/>
          <w:sz w:val="22"/>
          <w:szCs w:val="22"/>
        </w:rPr>
        <w:t xml:space="preserve">, </w:t>
      </w:r>
      <w:r w:rsidRPr="2030048C">
        <w:rPr>
          <w:rStyle w:val="normaltextrun"/>
          <w:rFonts w:ascii="Arial" w:eastAsia="Arial" w:hAnsi="Arial" w:cs="Arial"/>
          <w:color w:val="000000" w:themeColor="text1" w:themeShade="FF" w:themeTint="FF"/>
          <w:sz w:val="22"/>
          <w:szCs w:val="22"/>
        </w:rPr>
        <w:t>and at least 60 credits at Level 6 may be awarded a Pass (Ordinary/Non-Honours) degree. Students who do not pass the Professional Experience elements but achieve 360 credits in all of their taught modules will be eligible for an LLB (Hons).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The emphasis of the learning and teaching strategies is on encouraging both the acquisition of knowledge and critical understanding of the law, and the application of that knowledge and understanding in the solving of problems.</w:t>
      </w:r>
    </w:p>
    <w:p w:rsidRPr="2030048C" w:rsidP="2030048C">
      <w:pPr>
        <w:rPr>
          <w:rFonts w:ascii="Arial" w:eastAsia="Arial" w:hAnsi="Arial" w:cs="Arial"/>
          <w:sz w:val="24"/>
          <w:szCs w:val="24"/>
        </w:rPr>
      </w:pPr>
      <w:r w:rsidRPr="2030048C">
        <w:rPr>
          <w:rFonts w:ascii="Arial" w:eastAsia="Arial" w:hAnsi="Arial" w:cs="Arial"/>
          <w:sz w:val="24"/>
          <w:szCs w:val="24"/>
        </w:rPr>
        <w:t>Resources are aimed at encouraging students at the start of their studies to develop appropriate methods of working, including preparation, attendance and participation in sessions, and discussion with peers, and to make the best use of the learning resources available to them, which include library and electronic materials. In addition, to support success in the modules, guided independent study is supported by Canvas, the University’s virtual learning environment, and the Library As students’ progress through the Course, it is expected that they will become increasingly capable of managing their own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of the module descriptors contains a description of the teaching and learning strategies employed in that module, as well as the teaching delivery methods, which include lectures, seminars, and workshops. In any module, the teaching and learning strategies used will depend partly on the number of students enrolled on the module.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modules are designed to test and build engagement, many through the use of in-class required activities.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Core and Optional modules are delivered by way of weekly lectures and either weekly or fortnightly seminars. Seminars can include problem-based teaching and learning, with students required to do preparation and conduct research prior to the session. This embeds knowledge acquired during sessions. Across all Core and Optional modules, real-life, inclusive scenarios are utilised to demonstrate legal principles and their application.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Assessments are designed to allow students to demonstrate that they have achieved the learning outcomes of the Course, and of the individual modules within it. The learning outcomes to be assessed will include knowledge and understanding, cognitive skills and key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Assessment methods used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Examinations (end-of-module, time-constrained assessments within a controlled setting), which may take a variety of forms, including unseen, open book, or pre-released papers.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Individual and group presentations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Various forms of written assessments (individual and group), including portfolios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wide range of practical assessments</w:t>
      </w:r>
    </w:p>
    <w:p w:rsidRPr="2030048C" w:rsidP="2030048C">
      <w:pPr>
        <w:rPr>
          <w:rFonts w:ascii="Arial" w:eastAsia="Arial" w:hAnsi="Arial" w:cs="Arial"/>
          <w:sz w:val="24"/>
          <w:szCs w:val="24"/>
        </w:rPr>
      </w:pPr>
      <w:r w:rsidRPr="2030048C">
        <w:rPr>
          <w:rFonts w:ascii="Arial" w:eastAsia="Arial" w:hAnsi="Arial" w:cs="Arial"/>
          <w:sz w:val="24"/>
          <w:szCs w:val="24"/>
        </w:rPr>
        <w:t>The Assessment Co-ordinator ensures that assessment is spread throughout the year. Feedback is provided by module tutors in a variety of forms, including written, oral and peer led. Emphasis is also placed on feeding-forward, to ensure that undergraduates obtain feedback from both formative and summative assessments that they are able to carry forward to their next piece of work. Assessment continues throughout the Course, with undergraduates building up their knowledge and skills as they progress from year to year.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2"/>
          <w:szCs w:val="22"/>
        </w:rPr>
        <w:t xml:space="preserve">Students on the Course are supported by a Personal Tutor Scheme, which provides each student with personalised learning support. Each student is allocated an individual member of staff on enrolment to be their Personal Tutor. The Personal Tutor will guide the student </w:t>
      </w:r>
      <w:r w:rsidRPr="2030048C">
        <w:rPr>
          <w:rFonts w:ascii="Arial" w:eastAsia="Arial" w:hAnsi="Arial" w:cs="Arial"/>
          <w:sz w:val="22"/>
          <w:szCs w:val="22"/>
        </w:rPr>
        <w:t>throughout the entire course of study, on academic matters, learning habits and behaviours, learner engagement, and career aspirations, as part of a holistic student support network within the University.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Specifically, the Personal Tutor is responsible for ensuring students are supported: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on their academic progress, including the development of their academic skills through the provision of appropriate advice and guidance, and by monitoring the student’s progress, identifying their individual needs, and referring to students to other University student support services, where appropriate.</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rPr>
        <w:t>In their professional and personal development, including raising awareness of development opportunities, supporting, and developing awareness of professional ‘soft’ skills and transferable competencies, as well as graduate attributes and employability skills; and</w:t>
      </w:r>
    </w:p>
    <w:p w:rsidRPr="2030048C" w:rsidP="2030048C">
      <w:pPr>
        <w:numPr>
          <w:ilvl w:val="0"/>
          <w:numId w:val="17"/>
        </w:numPr>
        <w:ind w:left="720" w:hanging="360"/>
        <w:jc w:val="both"/>
        <w:rPr>
          <w:rFonts w:ascii="Arial" w:eastAsia="Arial" w:hAnsi="Arial" w:cs="Arial"/>
          <w:sz w:val="24"/>
          <w:szCs w:val="24"/>
        </w:rPr>
      </w:pPr>
      <w:r w:rsidRPr="2030048C">
        <w:rPr>
          <w:rFonts w:ascii="Arial" w:eastAsia="Arial" w:hAnsi="Arial" w:cs="Arial"/>
          <w:sz w:val="22"/>
          <w:szCs w:val="22"/>
        </w:rPr>
        <w:t>on their  well-being and engagement, so that the students get the most out of university life and are aware of all the opportunities on offer to them, as well as sign-posting and de-mystifying University policies and procedures.</w:t>
      </w:r>
    </w:p>
    <w:p w:rsidRPr="2030048C" w:rsidP="2030048C">
      <w:pPr>
        <w:jc w:val="both"/>
        <w:rPr>
          <w:rFonts w:ascii="Arial" w:eastAsia="Arial" w:hAnsi="Arial" w:cs="Arial"/>
          <w:sz w:val="24"/>
          <w:szCs w:val="24"/>
        </w:rPr>
      </w:pPr>
      <w:r w:rsidRPr="2030048C">
        <w:rPr>
          <w:rFonts w:ascii="Arial" w:eastAsia="Arial" w:hAnsi="Arial" w:cs="Arial"/>
          <w:sz w:val="22"/>
          <w:szCs w:val="22"/>
        </w:rPr>
        <w:t>In addition to having a personal tutor, students have an induction at the beginning of the Course, and are supported on the Course by:</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2"/>
          <w:szCs w:val="22"/>
        </w:rPr>
        <w:t xml:space="preserve">a Module Leader for each module </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2"/>
          <w:szCs w:val="22"/>
        </w:rPr>
        <w:t>a Year Tutor for each of Levels 4, 5 and 6</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2"/>
          <w:szCs w:val="22"/>
        </w:rPr>
        <w:t>a Course Leader with responsibility for academic guidance of the Course</w:t>
      </w:r>
    </w:p>
    <w:p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2"/>
          <w:szCs w:val="22"/>
        </w:rPr>
        <w:t>a designated Student and Course Administrator in the School Office.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All Course and module material is available on Canvas, which is the University’s versatile on-line interactive intranet and learning environment, and with technical support available on IT and the use of software.</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also have representation through:</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2"/>
          <w:szCs w:val="22"/>
        </w:rPr>
        <w:t xml:space="preserve">Student Course Representatives </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2"/>
          <w:szCs w:val="22"/>
        </w:rPr>
        <w:t>Student Voice Committee</w:t>
      </w:r>
    </w:p>
    <w:p w:rsidRPr="2030048C" w:rsidP="2030048C">
      <w:pPr>
        <w:numPr>
          <w:ilvl w:val="0"/>
          <w:numId w:val="19"/>
        </w:numPr>
        <w:ind w:left="720" w:hanging="360"/>
        <w:jc w:val="both"/>
        <w:rPr>
          <w:rFonts w:ascii="Arial" w:eastAsia="Arial" w:hAnsi="Arial" w:cs="Arial"/>
          <w:sz w:val="24"/>
          <w:szCs w:val="24"/>
        </w:rPr>
      </w:pPr>
      <w:r w:rsidRPr="2030048C">
        <w:rPr>
          <w:rFonts w:ascii="Arial" w:eastAsia="Arial" w:hAnsi="Arial" w:cs="Arial"/>
          <w:sz w:val="22"/>
          <w:szCs w:val="22"/>
        </w:rPr>
        <w:t>The Kingston Students Union,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and have access to a range of student support services, which include:</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 xml:space="preserve">CASE – academic skills assistance helpdesk in the library </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the Careers and Employability Service</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the Placement Office</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student support facilities that provide advice on issues including finance, regulations, legal matters, accommodation, and international student support</w:t>
      </w:r>
    </w:p>
    <w:p w:rsidRPr="2030048C" w:rsidP="2030048C">
      <w:pPr>
        <w:numPr>
          <w:ilvl w:val="0"/>
          <w:numId w:val="20"/>
        </w:numPr>
        <w:ind w:left="720" w:hanging="360"/>
        <w:jc w:val="both"/>
        <w:rPr>
          <w:rFonts w:ascii="Arial" w:eastAsia="Arial" w:hAnsi="Arial" w:cs="Arial"/>
          <w:sz w:val="24"/>
          <w:szCs w:val="24"/>
        </w:rPr>
      </w:pPr>
      <w:r w:rsidRPr="2030048C">
        <w:rPr>
          <w:rFonts w:ascii="Arial" w:eastAsia="Arial" w:hAnsi="Arial" w:cs="Arial"/>
          <w:sz w:val="22"/>
          <w:szCs w:val="22"/>
        </w:rPr>
        <w:t>disabled student support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Solicitors Regulation Authority (SRA) and Bar Standards Board (BSB) accreditation as a Qualifying Law Degree</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internal and external programme validation</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internal and external examiners</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boards of study with student representation</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student evaluation including Module Evaluation Questionnaires (MEQs), level surveys and the National Student Survey (NSS)</w:t>
      </w:r>
    </w:p>
    <w:p w:rsidR="3D0EBCB8"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63"/>
        <w:gridCol w:w="327"/>
        <w:gridCol w:w="1"/>
        <w:gridCol w:w="790"/>
        <w:gridCol w:w="1"/>
        <w:gridCol w:w="790"/>
        <w:gridCol w:w="1"/>
        <w:gridCol w:w="790"/>
        <w:gridCol w:w="1"/>
        <w:gridCol w:w="790"/>
        <w:gridCol w:w="1"/>
        <w:gridCol w:w="790"/>
        <w:gridCol w:w="1"/>
        <w:gridCol w:w="790"/>
        <w:gridCol w:w="1"/>
        <w:gridCol w:w="790"/>
        <w:gridCol w:w="1"/>
        <w:gridCol w:w="790"/>
        <w:gridCol w:w="1"/>
        <w:gridCol w:w="79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ediumGrid1-Accent21">
    <w:name w:val="MediumGrid1-Accent21"/>
    <w:basedOn w:val="ListParagraph"/>
  </w:style>
  <w:style w:type="paragraph" w:customStyle="1" w:styleId="MediumGrid21">
    <w:name w:val="MediumGrid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d68b3152cf5d08c2f050-97c828cc9502c69ac5af7576c62d48d6.ssl.cf3.rackcdn.com/documents/user-upload/kingston-university-63963086086-kingston-university-gr5-changes.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