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Biochemistry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31/05/2012</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Biomolecular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Biochemistry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Biochemistry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Biochemistry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Biochemistry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UPBCH1BCH01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UFBCH1BCH01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C700 (full-time), C701 (with placement), C708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Biochemistry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Biochemistry (with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Biochemistry (with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Biochemistry (with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USBCH1BCH45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Biochemistry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Biochemistry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Biochemistry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Biochemistry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Royal Society of Biology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 professional and statutory regulatory body (PSRB) requirement (Royal Society of Biology) that the project (bioscience) module (LS6014) must be passed and cannot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Engage</w:t>
      </w:r>
      <w:r w:rsidRPr="2030048C">
        <w:rPr>
          <w:rStyle w:val="normaltextrun"/>
          <w:rFonts w:ascii="Arial" w:hAnsi="Arial" w:cs="Arial"/>
          <w:color w:val="000000" w:themeColor="text1"/>
          <w:sz w:val="22"/>
          <w:szCs w:val="22"/>
          <w:shd w:val="clear" w:color="auto" w:fill="FFFFFF"/>
        </w:rPr>
        <w:t xml:space="preserve"> students in the study of Biochemistry, providing a deep understanding of its fundamental principles and the intricacies of related fields.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 xml:space="preserve">Forster </w:t>
      </w:r>
      <w:r w:rsidRPr="2030048C">
        <w:rPr>
          <w:rStyle w:val="normaltextrun"/>
          <w:rFonts w:ascii="Arial" w:hAnsi="Arial" w:cs="Arial"/>
          <w:color w:val="000000" w:themeColor="text1"/>
          <w:sz w:val="22"/>
          <w:szCs w:val="22"/>
          <w:shd w:val="clear" w:color="auto" w:fill="FFFFFF"/>
        </w:rPr>
        <w:t>the ability to independently seek out, evaluate, and synthesize primary and secondary literature, laying the groundwork for advanced independent study and a major research project at Level 6.</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Demonstrate</w:t>
      </w:r>
      <w:r w:rsidRPr="2030048C">
        <w:rPr>
          <w:rStyle w:val="normaltextrun"/>
          <w:rFonts w:ascii="Arial" w:hAnsi="Arial" w:cs="Arial"/>
          <w:color w:val="000000" w:themeColor="text1"/>
          <w:sz w:val="22"/>
          <w:szCs w:val="22"/>
          <w:shd w:val="clear" w:color="auto" w:fill="FFFFFF"/>
        </w:rPr>
        <w:t xml:space="preserve"> a comprehensive suite of practical skills relevant to the subject, ensuring competence in gathering, analysing, interpreting, and presenting scientific data.</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Offer</w:t>
      </w:r>
      <w:r w:rsidRPr="2030048C">
        <w:rPr>
          <w:rStyle w:val="normaltextrun"/>
          <w:rFonts w:ascii="Arial" w:hAnsi="Arial" w:cs="Arial"/>
          <w:color w:val="000000" w:themeColor="text1"/>
          <w:sz w:val="22"/>
          <w:szCs w:val="22"/>
          <w:shd w:val="clear" w:color="auto" w:fill="FFFFFF"/>
        </w:rPr>
        <w:t xml:space="preserve"> many opportunities for students to refine their communication skills, both in writing and orally.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Promote</w:t>
      </w:r>
      <w:r w:rsidRPr="2030048C">
        <w:rPr>
          <w:rStyle w:val="normaltextrun"/>
          <w:rFonts w:ascii="Arial" w:hAnsi="Arial" w:cs="Arial"/>
          <w:color w:val="000000" w:themeColor="text1"/>
          <w:sz w:val="22"/>
          <w:szCs w:val="22"/>
          <w:shd w:val="clear" w:color="auto" w:fill="FFFFFF"/>
        </w:rPr>
        <w:t xml:space="preserve"> the growth of independent learning abilities through engagement with a wide range of scholarly resources.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Equip</w:t>
      </w:r>
      <w:r w:rsidRPr="2030048C">
        <w:rPr>
          <w:rStyle w:val="normaltextrun"/>
          <w:rFonts w:ascii="Arial" w:hAnsi="Arial" w:cs="Arial"/>
          <w:color w:val="000000" w:themeColor="text1"/>
          <w:sz w:val="22"/>
          <w:szCs w:val="22"/>
          <w:shd w:val="clear" w:color="auto" w:fill="FFFFFF"/>
        </w:rPr>
        <w:t xml:space="preserve"> students for successful careers post-graduation, whether in research, further education, or lifelong learning, by enhancing their intellectual acumen, problem-solving capabilities, communicative prowess, numerical literacy, ICT proficiency, and practical and transferable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Encourage</w:t>
      </w:r>
      <w:r w:rsidRPr="2030048C">
        <w:rPr>
          <w:rStyle w:val="normaltextrun"/>
          <w:rFonts w:ascii="Arial" w:hAnsi="Arial" w:cs="Arial"/>
          <w:color w:val="000000" w:themeColor="text1"/>
          <w:sz w:val="22"/>
          <w:szCs w:val="22"/>
          <w:shd w:val="clear" w:color="auto" w:fill="FFFFFF"/>
        </w:rPr>
        <w:t xml:space="preserve"> creativity and innovation, making them pertinent to professional environments.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Prepare</w:t>
      </w:r>
      <w:r w:rsidRPr="2030048C">
        <w:rPr>
          <w:rStyle w:val="normaltextrun"/>
          <w:rFonts w:ascii="Arial" w:hAnsi="Arial" w:cs="Arial"/>
          <w:color w:val="000000" w:themeColor="text1"/>
          <w:sz w:val="22"/>
          <w:szCs w:val="22"/>
          <w:shd w:val="clear" w:color="auto" w:fill="FFFFFF"/>
        </w:rPr>
        <w:t xml:space="preserve"> graduates with a versatile knowledge base and skill set, enabling them to thrive in scientific and non-scientific roles across various sectors.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Integrate</w:t>
      </w:r>
      <w:r w:rsidRPr="2030048C">
        <w:rPr>
          <w:rStyle w:val="normaltextrun"/>
          <w:rFonts w:ascii="Arial" w:hAnsi="Arial" w:cs="Arial"/>
          <w:color w:val="000000" w:themeColor="text1"/>
          <w:sz w:val="22"/>
          <w:szCs w:val="22"/>
          <w:shd w:val="clear" w:color="auto" w:fill="FFFFFF"/>
        </w:rPr>
        <w:t xml:space="preserve"> blended learning and artificial intelligence into the Biochemistry curriculum to enhance educational outcomes.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career opportunities within biochemistry, or related subject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Work effectively in a team and play a full part in achieving its success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Evaluate, interpret, and present laboratory, experimental or field data to a professional standard</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molecular biology techniques (including bioinformatics), and application of molecular genetics within biochemistry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ideas and communicate them well to others (in written, oral and digital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Be adept with the detailed and strict requirements of facilities and procedures used in biochemistry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bioanalytical techniques in biochemistry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an independent autonomous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perform in an efficient manner the techniques used widely in biochemistry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health and safety procedures in the biochemical laboratory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and interpret data from a variety of sources (including academic literature)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Perform subject-related practical work safely and understand and comply with ethical and safety issues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information technology, databases and analytical tools in biochemistry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molecular basis of selected human diseases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critically evaluate and appraise information from both primary and secondary sources, and where appropriate integrate information from multiple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structure of the major classes of biochemical compounds and the relationship of these structural attributes to their function within a cell/organism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the solving of problems by using innovative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2"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principles underpinning scientific research methodology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in a full-time or full-time with professional placement mode and leads to the award of BSc (Hons) Biochemistry.  Entry is normally at level 4 with A-level or equivalent qualifications (See section D).  Transfer from a similar programme is possible at level 5 with passes in comparable level 4 modules – but is at the discretion of the course team. Intake is normally in September.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Typically, a student must complete 120 credits at each level or 90 credits with one 30 credits being trailed.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Level 4 of the programme is designed to provide students with grounding in the biological and chemical principles of biochemistry, which are considered essential to underpin level 5 and 6 of the course. A Scientific and Laboratory Skills module equips students with the basics underlying the practical applications of the subject along with mathematics, statistics, and ICT skills. At level 5, students study four core modules that build upon the knowledge gained during level 4 to further develop their understanding of the molecular basis of biological systems and biochemical techniques. The module entitled Microbiology, Research Methods and Skills in addition develops students’ research skills, including communication, critical evaluation, and statistical analysis of data.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of the course is comprised of a range of specialist modules that allow students to study selected biochemical topics in some depth, all of which are core. At level 6, students will conduct an original piece of independent research in a topic of their choice related to biochemistry. The biochemistry programme also integrates selected modules from the Department of Chemical &amp; Pharmaceutical Sciences that highlight some of the processes utilised in the biochemical and pharmaceutical industries.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Biochemistry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Biochemistry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Chemical Foundations: From Atoms to Pharmaceuticals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to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Biochemistry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completion of the core modules shown above.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Biochemistry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Techniques for Molecular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Microbiology, 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Molecular Biology of the Cell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Sandwich Year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Minimum of 36 weeks throughout the year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the completion of the core modules shown above.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Biochemistry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Bioinformatics: Decoding Life’s Data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Bioscience Innovation and Enterprise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Biochemistry and Blood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Level 6 requires the completion of the core modules shown above.</w:t>
      </w:r>
      <w:r w:rsidRPr="2030048C">
        <w:rPr>
          <w:rStyle w:val="normaltextrun"/>
          <w:rFonts w:ascii="Arial" w:eastAsia="Arial" w:hAnsi="Arial" w:cs="Arial"/>
          <w:color w:val="000000" w:themeColor="text1" w:themeShade="FF" w:themeTint="FF"/>
          <w:sz w:val="22"/>
          <w:szCs w:val="22"/>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It is a professional and statutory regulatory body requirement that the project (bioscience) module (LS6014) must be passed and cannot be compensated.</w:t>
      </w:r>
      <w:r w:rsidRPr="2030048C">
        <w:rPr>
          <w:rStyle w:val="normaltextrun"/>
          <w:rFonts w:ascii="Arial" w:eastAsia="Arial" w:hAnsi="Arial" w:cs="Arial"/>
          <w:color w:val="000000" w:themeColor="text1" w:themeShade="FF" w:themeTint="FF"/>
          <w:sz w:val="22"/>
          <w:szCs w:val="22"/>
        </w:rPr>
        <w:t>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Biochemistry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Biochemistry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Students are supported by: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Module Leader for ea</w:t>
      </w:r>
      <w:r w:rsidRPr="2030048C">
        <w:rPr>
          <w:rFonts w:ascii="Arial" w:eastAsia="Arial" w:hAnsi="Arial" w:cs="Arial"/>
          <w:sz w:val="24"/>
          <w:szCs w:val="24"/>
        </w:rPr>
        <w:t xml:space="preserve">ch module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 Course </w:t>
      </w:r>
      <w:r w:rsidRPr="2030048C">
        <w:rPr>
          <w:rFonts w:ascii="Arial" w:eastAsia="Arial" w:hAnsi="Arial" w:cs="Arial"/>
          <w:sz w:val="24"/>
          <w:szCs w:val="24"/>
        </w:rPr>
        <w:t xml:space="preserve">Leader </w:t>
      </w:r>
      <w:r w:rsidRPr="2030048C">
        <w:rPr>
          <w:rFonts w:ascii="Arial" w:eastAsia="Arial" w:hAnsi="Arial" w:cs="Arial"/>
          <w:sz w:val="24"/>
          <w:szCs w:val="24"/>
        </w:rPr>
        <w:t>to help s</w:t>
      </w:r>
      <w:r w:rsidRPr="2030048C">
        <w:rPr>
          <w:rFonts w:ascii="Arial" w:eastAsia="Arial" w:hAnsi="Arial" w:cs="Arial"/>
          <w:sz w:val="24"/>
          <w:szCs w:val="24"/>
        </w:rPr>
        <w:t>t</w:t>
      </w:r>
      <w:r w:rsidRPr="2030048C">
        <w:rPr>
          <w:rFonts w:ascii="Arial" w:eastAsia="Arial" w:hAnsi="Arial" w:cs="Arial"/>
          <w:sz w:val="24"/>
          <w:szCs w:val="24"/>
        </w:rPr>
        <w:t xml:space="preserve">udents understand the programme structure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Personal Tutors to pr</w:t>
      </w:r>
      <w:r w:rsidRPr="2030048C">
        <w:rPr>
          <w:rFonts w:ascii="Arial" w:eastAsia="Arial" w:hAnsi="Arial" w:cs="Arial"/>
          <w:sz w:val="24"/>
          <w:szCs w:val="24"/>
        </w:rPr>
        <w:t>ovide academi</w:t>
      </w:r>
      <w:r w:rsidRPr="2030048C">
        <w:rPr>
          <w:rFonts w:ascii="Arial" w:eastAsia="Arial" w:hAnsi="Arial" w:cs="Arial"/>
          <w:sz w:val="24"/>
          <w:szCs w:val="24"/>
        </w:rPr>
        <w:t xml:space="preserve">c </w:t>
      </w:r>
      <w:r w:rsidRPr="2030048C">
        <w:rPr>
          <w:rFonts w:ascii="Arial" w:eastAsia="Arial" w:hAnsi="Arial" w:cs="Arial"/>
          <w:sz w:val="24"/>
          <w:szCs w:val="24"/>
        </w:rPr>
        <w:t xml:space="preserve">advice </w:t>
      </w:r>
      <w:r w:rsidRPr="2030048C">
        <w:rPr>
          <w:rFonts w:ascii="Arial" w:eastAsia="Arial" w:hAnsi="Arial" w:cs="Arial"/>
          <w:sz w:val="24"/>
          <w:szCs w:val="24"/>
        </w:rPr>
        <w:t xml:space="preserve">and </w:t>
      </w:r>
      <w:r w:rsidRPr="2030048C">
        <w:rPr>
          <w:rFonts w:ascii="Arial" w:eastAsia="Arial" w:hAnsi="Arial" w:cs="Arial"/>
          <w:sz w:val="24"/>
          <w:szCs w:val="24"/>
        </w:rPr>
        <w:t>guidance, to build rapport between staff and students and contribute to personalising the students’ e</w:t>
      </w:r>
      <w:r w:rsidRPr="2030048C">
        <w:rPr>
          <w:rFonts w:ascii="Arial" w:eastAsia="Arial" w:hAnsi="Arial" w:cs="Arial"/>
          <w:sz w:val="24"/>
          <w:szCs w:val="24"/>
        </w:rPr>
        <w:t>xperience.</w:t>
      </w:r>
      <w:r w:rsidRPr="2030048C">
        <w:rPr>
          <w:rFonts w:ascii="Arial" w:eastAsia="Arial" w:hAnsi="Arial" w:cs="Arial"/>
          <w:sz w:val="24"/>
          <w:szCs w:val="24"/>
        </w:rPr>
        <w:t xml:space="preserv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placemen</w:t>
      </w:r>
      <w:r w:rsidRPr="2030048C">
        <w:rPr>
          <w:rFonts w:ascii="Arial" w:eastAsia="Arial" w:hAnsi="Arial" w:cs="Arial"/>
          <w:sz w:val="24"/>
          <w:szCs w:val="24"/>
        </w:rPr>
        <w:t>t tutor to give general advice on plac</w:t>
      </w:r>
      <w:r w:rsidRPr="2030048C">
        <w:rPr>
          <w:rFonts w:ascii="Arial" w:eastAsia="Arial" w:hAnsi="Arial" w:cs="Arial"/>
          <w:sz w:val="24"/>
          <w:szCs w:val="24"/>
        </w:rPr>
        <w:t>e</w:t>
      </w:r>
      <w:r w:rsidRPr="2030048C">
        <w:rPr>
          <w:rFonts w:ascii="Arial" w:eastAsia="Arial" w:hAnsi="Arial" w:cs="Arial"/>
          <w:sz w:val="24"/>
          <w:szCs w:val="24"/>
        </w:rPr>
        <w:t xml:space="preserve">ments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w:t>
      </w:r>
      <w:r w:rsidRPr="2030048C">
        <w:rPr>
          <w:rFonts w:ascii="Arial" w:eastAsia="Arial" w:hAnsi="Arial" w:cs="Arial"/>
          <w:sz w:val="24"/>
          <w:szCs w:val="24"/>
        </w:rPr>
        <w:t xml:space="preserve"> software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 designated programme administrator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An induction week at the beginning of each new academic session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Staff S</w:t>
      </w:r>
      <w:r w:rsidRPr="2030048C">
        <w:rPr>
          <w:rFonts w:ascii="Arial" w:eastAsia="Arial" w:hAnsi="Arial" w:cs="Arial"/>
          <w:sz w:val="24"/>
          <w:szCs w:val="24"/>
        </w:rPr>
        <w:t>tudent Consultative Comm</w:t>
      </w:r>
      <w:r w:rsidRPr="2030048C">
        <w:rPr>
          <w:rFonts w:ascii="Arial" w:eastAsia="Arial" w:hAnsi="Arial" w:cs="Arial"/>
          <w:sz w:val="24"/>
          <w:szCs w:val="24"/>
        </w:rPr>
        <w:t xml:space="preserve">ittee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xml:space="preserve"> – a versatile on-line </w:t>
      </w:r>
      <w:r w:rsidRPr="2030048C">
        <w:rPr>
          <w:rFonts w:ascii="Arial" w:eastAsia="Arial" w:hAnsi="Arial" w:cs="Arial"/>
          <w:sz w:val="24"/>
          <w:szCs w:val="24"/>
        </w:rPr>
        <w:t>i</w:t>
      </w:r>
      <w:r w:rsidRPr="2030048C">
        <w:rPr>
          <w:rFonts w:ascii="Arial" w:eastAsia="Arial" w:hAnsi="Arial" w:cs="Arial"/>
          <w:sz w:val="24"/>
          <w:szCs w:val="24"/>
        </w:rPr>
        <w:t>nteractive intranet an</w:t>
      </w:r>
      <w:r w:rsidRPr="2030048C">
        <w:rPr>
          <w:rFonts w:ascii="Arial" w:eastAsia="Arial" w:hAnsi="Arial" w:cs="Arial"/>
          <w:sz w:val="24"/>
          <w:szCs w:val="24"/>
        </w:rPr>
        <w:t>d</w:t>
      </w:r>
      <w:r w:rsidRPr="2030048C">
        <w:rPr>
          <w:rFonts w:ascii="Arial" w:eastAsia="Arial" w:hAnsi="Arial" w:cs="Arial"/>
          <w:sz w:val="24"/>
          <w:szCs w:val="24"/>
        </w:rPr>
        <w:t xml:space="preserve"> learning environment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substantial Stud</w:t>
      </w:r>
      <w:r w:rsidRPr="2030048C">
        <w:rPr>
          <w:rFonts w:ascii="Arial" w:eastAsia="Arial" w:hAnsi="Arial" w:cs="Arial"/>
          <w:sz w:val="24"/>
          <w:szCs w:val="24"/>
        </w:rPr>
        <w:t>y Skills Centre that provides academic skills support</w:t>
      </w:r>
      <w:r w:rsidRPr="2030048C">
        <w:rPr>
          <w:rFonts w:ascii="Arial" w:eastAsia="Arial" w:hAnsi="Arial" w:cs="Arial"/>
          <w:sz w:val="24"/>
          <w:szCs w:val="24"/>
        </w:rPr>
        <w:t xml:space="preserv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Student support facilities that include student support officers</w:t>
      </w:r>
      <w:r w:rsidRPr="2030048C">
        <w:rPr>
          <w:rFonts w:ascii="Arial" w:eastAsia="Arial" w:hAnsi="Arial" w:cs="Arial"/>
          <w:sz w:val="24"/>
          <w:szCs w:val="24"/>
        </w:rPr>
        <w:t xml:space="preserve"> prov</w:t>
      </w:r>
      <w:r w:rsidRPr="2030048C">
        <w:rPr>
          <w:rFonts w:ascii="Arial" w:eastAsia="Arial" w:hAnsi="Arial" w:cs="Arial"/>
          <w:sz w:val="24"/>
          <w:szCs w:val="24"/>
        </w:rPr>
        <w:t>ide advice on issues suc</w:t>
      </w:r>
      <w:r w:rsidRPr="2030048C">
        <w:rPr>
          <w:rFonts w:ascii="Arial" w:eastAsia="Arial" w:hAnsi="Arial" w:cs="Arial"/>
          <w:sz w:val="24"/>
          <w:szCs w:val="24"/>
        </w:rPr>
        <w:t>h as finance, regulations, legal matte</w:t>
      </w:r>
      <w:r w:rsidRPr="2030048C">
        <w:rPr>
          <w:rFonts w:ascii="Arial" w:eastAsia="Arial" w:hAnsi="Arial" w:cs="Arial"/>
          <w:sz w:val="24"/>
          <w:szCs w:val="24"/>
        </w:rPr>
        <w:t>r</w:t>
      </w:r>
      <w:r w:rsidRPr="2030048C">
        <w:rPr>
          <w:rFonts w:ascii="Arial" w:eastAsia="Arial" w:hAnsi="Arial" w:cs="Arial"/>
          <w:sz w:val="24"/>
          <w:szCs w:val="24"/>
        </w:rPr>
        <w:t>s, accommodation, international student support etc.</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Disabled st</w:t>
      </w:r>
      <w:r w:rsidRPr="2030048C">
        <w:rPr>
          <w:rFonts w:ascii="Arial" w:eastAsia="Arial" w:hAnsi="Arial" w:cs="Arial"/>
          <w:sz w:val="24"/>
          <w:szCs w:val="24"/>
        </w:rPr>
        <w:t xml:space="preserve">udent support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The Students’ Union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Careers and Employability Service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Royal Society of Biology (PRSB)</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 (Bioscience 2023)</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33"/>
        <w:gridCol w:w="237"/>
        <w:gridCol w:w="582"/>
        <w:gridCol w:w="608"/>
        <w:gridCol w:w="582"/>
        <w:gridCol w:w="582"/>
        <w:gridCol w:w="1"/>
        <w:gridCol w:w="607"/>
        <w:gridCol w:w="582"/>
        <w:gridCol w:w="582"/>
        <w:gridCol w:w="582"/>
        <w:gridCol w:w="2"/>
        <w:gridCol w:w="580"/>
        <w:gridCol w:w="582"/>
        <w:gridCol w:w="582"/>
        <w:gridCol w:w="582"/>
        <w:gridCol w:w="60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