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Nutrition (Exercise and Health)</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31/05/2012</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25/09/2025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Applied &amp; Human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Nutrition (Exercise and Health)</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Nutrition (Exercise and Health)</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CertHE Nutrition</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Nutrition</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UPENH1ENH01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UFENH1ENH04</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BB49/BB4X</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Nutrition (Exercise and Health)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Nutrition (Exercise and Health)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CertHE Nutrition</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Nutrition</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USENH1ENH01</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10</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ind w:left="288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2"/>
                <w:szCs w:val="22"/>
                <w:u w:val="single"/>
                <w:shd w:val="clear" w:color="auto" w:fill="FFFFFF"/>
              </w:rPr>
              <w:t>A levels:</w:t>
            </w:r>
            <w:r w:rsidRPr="2030048C">
              <w:rPr>
                <w:rStyle w:val="normaltextrun"/>
                <w:rFonts w:ascii="Arial" w:eastAsia="Arial" w:hAnsi="Arial" w:cs="Arial"/>
                <w:b w:val="0"/>
                <w:bCs w:val="0"/>
                <w:color w:val="000000"/>
                <w:sz w:val="22"/>
                <w:szCs w:val="22"/>
                <w:shd w:val="clear" w:color="auto" w:fill="FFFFFF"/>
              </w:rPr>
              <w:t>                                             112-128 UCAS points from a minimum of two A Levels (grades BBC), or equivalent Level 3 qualifications. A-levels should include a science subject with grade C or above, such as Chemistry, Biology, Nutrition and Food Science, Food Technology, Food Studies, Home Economics (Food, Nutrition and Health), Psychology and Physical Education. We also count Extended Project towards your total UCAS points. General Studies is not accepted.</w:t>
            </w:r>
          </w:p>
          <w:p w:rsidRPr="2030048C" w:rsidP="2030048C">
            <w:pPr>
              <w:ind w:left="288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BTEC:                                                 BTEC Extended Diploma in appropriate Science subject (e.g. Sport and Exercise Science) with minimum 112 points (grades DMM). </w:t>
            </w:r>
          </w:p>
          <w:p w:rsidRPr="2030048C" w:rsidP="2030048C">
            <w:pPr>
              <w:ind w:left="288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Access Diploma:                              Minimum of 112 UCAS points achieved in science-related Access course. A minimum of 21 Level 3 credits in Biology and/or Chemistry at a Merit grade.</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Science Foundation Year:             Pass.</w:t>
            </w:r>
          </w:p>
          <w:p w:rsidRPr="2030048C" w:rsidP="2030048C">
            <w:pPr>
              <w:ind w:left="288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Plus:                                                    GCSE grade 4 or above (previously grades A*–C): minimum of five subjects including English Language, Mathematics and Science.</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 minimum IELTS score of 6.5 (with a minimum of 6.0 in all elements) or equivalent is required (because of professional body requirements) for those for whom English is not their first language.</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Association for Nutrition (AfN)</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It is a professional and statutory regulatory body requirement that the modules LS4013, LS5019, LS6032, LS6033 and LS6035 must be passed and cannot be compensated.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For these modules, all elements of assessment must be passed to pass the module (as per PSRB requirements).</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aims of the BSc (Hons) Nutrition (Exercise and Health) programme are to:</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provide a curriculum in nutrition, exercise and health supported by scholarship, staff development and a research culture to students from a wide variety of academic and social backgrounds;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offer a variety of learning opportunities through flexible modes of study;</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produce graduates equipped with the subject-specific knowledge and the key and transferrable skills that enable them to play leading roles in a range of nutrition, sport, exercise, or health related industries, and/or to undertake further studies;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develop within students an ability to critically evaluate information and solve problems in the interrelated subjects of nutrition, exercise and health;</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equip graduates with a range of generic intellectual skills and key skills relevant to their personal development and future employment;</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provide graduates with knowledge of good and safe working practices related to nutrition, exercise and health.</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Additionally the aims for those on the with professional placement programmes are to:</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provide graduates with a practical knowledge of the application of the academic disciplines related to nutrition, exercise or health environments;</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provide a broader knowledge of the career opportunities in subject areas related to nutrition, exercise and health.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subject knowledge and understanding to solving problems in nutrition, exercise and health.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BK3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Actively listen and respond appropriately to ideas of others.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demonstrate competence in a range of practical and analytical techniques used in exercise, nutrition and health.</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competence in a range of practical and analytical techniques used in nutrition, exercise and health, and understand and comply with good and safe working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EK1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Collect data from primary and secondary sources and use appropriate methods to manipulate and analyse this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understand, and be able to comply with, safety in the laboratory.</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and undertake the critical evaluation and interpretation of experimental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EK2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Present and record data in appropriate formats.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demonstrate skills in the evaluation and interpretation of laboratory and field data.</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generic intellectual and key skills in lifelong learning, professional development, and future employment.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EK3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and evaluate data to inform and justify arguments.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plan and design experimental projects or field research relevant to exercise, nutrition or health.</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nutrition, exercise and health together with an in-depth knowledge of selected aspects of the subject.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EK4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Be aware of issues of selection, accuracy and uncertainty in the collection and analysis of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plan, conduct and report on an individual research project in exercise, nutrition and health sciences.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BK2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Present, challenge and defend ideas and results effectively orally and in writing.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CK1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Work well with others in a group or team.</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1"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BK1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Express ideas clearly and unambiguously in writing and the spoken word.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CK2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Work flexibly and respond to change.</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2"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be independent, autonomous learners.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CK3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Discuss and debate with others and make concession to reach agreement.</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3"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data from a variety of sources and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CK4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Give, accept and respond to constructive feedback.</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4"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both primary and secondary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CK5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Show sensitivity and respect for diverse values and beliefs.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5"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FK1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Determine the scope of a task (or project).</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6"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plan, conduct and report on individual/group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FK2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Identify resources needed to undertake the task (or project) and to schedule and manage the resources.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7"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FK3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Evidence ability to successfully complete and evaluate a task (or project), revising the plan where necessary.</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8"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FK4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Motivate and direct others to enable an effective contribution from all participants.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 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The programme structure is designed to meet the QAA subject benchmarks for Biomedical Sciences and Biosciences and the Framework for Higher Education Qualifications in England, Wales and Northern Ireland (2015).  There are three levels of study and each level is made up of four modules each worth 30 credits.  Typically a student must complete 120 credits at each level.  All students will be provided with the University regulations and specific additions including how modules map against the curriculum standards of the Association for Nutrition (AfN) (See Appendix 1).  Full details of each module will be provided in module descriptors and student module guides.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Nutrition (Exercise and Health)</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Nutrition (Exercise and Health)</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Essentials for Sport, Exercise and Nutrition Sciences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Functional Anatomy &amp; Exercise Physiology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Food and Nutrition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Sport and Exercise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Progression to level 5 requires successful completion of all level 4 modules. No trailing of level 4 modules is permitted.</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Students exiting the programme at this point who have successfully completed 120 credits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Nutrition (Exercise and Health)</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Applied Nutrition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LS5019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Health &amp; Exercise Physiology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LS4009</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 Methods in Sport, Exercise, and Nutrition Sciences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Sport and Exercise Psychology II</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LS4008</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Progression to level 6 requires successful completion of the four core level 5 modules. No trailing of level 5 modules is possible.</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Students exiting the programme at this point who have successfully completed 120 credits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Nutrition (Exercise and Health)</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Public Health Nutrition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Sport, Exercise and Nutrition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Contemporary Issues in Food and Nutrition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LS6033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Extreme Environments and Ergogenic Aids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LS5014</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Sport Nutrition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 It is a professional and statutory regulatory body requirement that the modules LS4006, LS5007, LS6009, LS6010 and LS6015 (or LS6023) must be passed and cannot be compensated.</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Nutrition (Exercise and Health)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2"/>
          <w:szCs w:val="22"/>
        </w:rPr>
        <w:t xml:space="preserve">This field has been designed to take account of the KU Curriculum Design Principles.  The course utilises a wide range of teaching and learning methods that will enable all students to be actively engaged throughout the course.  Teaching and learning will focus on developing academic skills and utilizing research-informed teaching strategies carefully crafted to suit the content and the learning outcomes of each module. </w:t>
      </w:r>
      <w:r w:rsidRPr="2030048C">
        <w:rPr>
          <w:rFonts w:ascii="Arial" w:eastAsia="Arial" w:hAnsi="Arial" w:cs="Arial"/>
          <w:color w:val="000000"/>
          <w:sz w:val="22"/>
          <w:szCs w:val="22"/>
        </w:rPr>
        <w:t xml:space="preserve">The content of all modules is designed to recognise the expected variation in student knowledge base, key and transferable skill competencies and to develop them further through formative assessment, practice opportunities and feed forward activities.  </w:t>
      </w:r>
    </w:p>
    <w:p w:rsidRPr="2030048C" w:rsidP="2030048C">
      <w:pPr>
        <w:jc w:val="both"/>
        <w:rPr>
          <w:rFonts w:ascii="Arial" w:eastAsia="Arial" w:hAnsi="Arial" w:cs="Arial"/>
          <w:sz w:val="24"/>
          <w:szCs w:val="24"/>
        </w:rPr>
      </w:pPr>
      <w:r w:rsidRPr="2030048C">
        <w:rPr>
          <w:rFonts w:ascii="Arial" w:eastAsia="Arial" w:hAnsi="Arial" w:cs="Arial"/>
          <w:sz w:val="22"/>
          <w:szCs w:val="22"/>
        </w:rPr>
        <w:t>There are three levels of study for successful completion of the programme. The balance between lectures and tutorial/seminar/practical time across levels is a deliberate effort to allow theoretical and generic knowledge taught in lectures to be given context and meaning in real-world scenarios. This is achieved through the use of case studies; research data, the students’ own experience and student-led inquiry-based learning or experiential approaches in smaller group sessions.</w:t>
      </w:r>
      <w:r w:rsidRPr="2030048C">
        <w:rPr>
          <w:rFonts w:ascii="Arial" w:eastAsia="Arial" w:hAnsi="Arial" w:cs="Arial"/>
          <w:i/>
          <w:iCs/>
          <w:sz w:val="22"/>
          <w:szCs w:val="22"/>
        </w:rPr>
        <w:t xml:space="preserv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lang w:val="en-US" w:eastAsia="en-US"/>
        </w:rPr>
        <w:t xml:space="preserve">At level 4 the focus is on the acquisition of underpinning knowledge across the broad spectrum of nutrition, exercise and health topics and to develop key and transferable skills through the delivery of An Introduction to Food and Nutrition (LS4013), Essentials for Sport, Exercise and Nutrition Sciences (LS4011), Sport and Exercise Psychology (LS4008) and Functional Anatomy and Exercise Physiology (LS4009). </w:t>
      </w:r>
      <w:r w:rsidRPr="2030048C">
        <w:rPr>
          <w:rFonts w:ascii="Arial" w:eastAsia="Arial" w:hAnsi="Arial" w:cs="Arial"/>
          <w:sz w:val="22"/>
          <w:szCs w:val="22"/>
        </w:rPr>
        <w:t xml:space="preserve">The teaching and learning approach at this level will typically comprise formal lectures to ensure that students have the key knowledge relating to the module and a sound base within their subject. Supporting tutorials, seminar or practical sessions will be used to encourage exploration of the knowledge base by tutor-led discussion and application of theories.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lang w:val="en-US" w:eastAsia="en-US"/>
        </w:rPr>
        <w:t xml:space="preserve">Level 5 focuses on further developing knowledge across the broad spectrum of nutrition, exercise and health topics using inquiry-based teaching and learning strategies, and research informed teaching.  </w:t>
      </w:r>
      <w:r w:rsidRPr="2030048C">
        <w:rPr>
          <w:rFonts w:ascii="Arial" w:eastAsia="Arial" w:hAnsi="Arial" w:cs="Arial"/>
          <w:sz w:val="22"/>
          <w:szCs w:val="22"/>
        </w:rPr>
        <w:t xml:space="preserve">Examples of this approach include: identifying the nutritional needs for groups within a population (Applied Nutrition – LS5019), </w:t>
      </w:r>
      <w:r w:rsidRPr="2030048C">
        <w:rPr>
          <w:rFonts w:ascii="Arial" w:eastAsia="Arial" w:hAnsi="Arial" w:cs="Arial"/>
          <w:sz w:val="22"/>
          <w:szCs w:val="22"/>
        </w:rPr>
        <w:t>evaluating and monitoring human responses to exercise and to evaluate fitness and health through exercise and to prescribe interventions, and discussing research into the effects of exercise on the body and health (Sport and Exercise Psychology 2 – LS5013, Health and Exercise Physiology – LS5014)</w:t>
      </w:r>
      <w:r w:rsidRPr="2030048C">
        <w:rPr>
          <w:rFonts w:ascii="Arial" w:eastAsia="Arial" w:hAnsi="Arial" w:cs="Arial"/>
          <w:sz w:val="22"/>
          <w:szCs w:val="22"/>
        </w:rPr>
        <w:t xml:space="preserve">. </w:t>
      </w:r>
      <w:r w:rsidRPr="2030048C">
        <w:rPr>
          <w:rFonts w:ascii="Arial" w:eastAsia="Arial" w:hAnsi="Arial" w:cs="Arial"/>
          <w:sz w:val="22"/>
          <w:szCs w:val="22"/>
        </w:rPr>
        <w:t xml:space="preserve">At level 5 the approach will typically comprise staff-led activities in the early parts of modules to ensure that students have the opportunity to build on the key knowledge from level 4 and pursue new scenarios and lines of inquiry. In the latter stages of level 5 the focus will be to progress onto more student-led approaches to inquiry-based learning through analysis, exploration and acquisition of theories and ideas through research.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lang w:val="en-US" w:eastAsia="en-US"/>
        </w:rPr>
        <w:t xml:space="preserve">At level 6 the focus will be building on the knowledge base from levels 4 and 5.  Students will be actively engaged in the pursuit of their own questions, problems, scenarios or lines of inquiry, for example </w:t>
      </w:r>
      <w:r w:rsidRPr="2030048C">
        <w:rPr>
          <w:rFonts w:ascii="Arial" w:eastAsia="Arial" w:hAnsi="Arial" w:cs="Arial"/>
          <w:sz w:val="22"/>
          <w:szCs w:val="22"/>
        </w:rPr>
        <w:t xml:space="preserve">devising a health promotion strategy related to nutrition and health including physical activity policies in the UK and beyond (Public Health Nutrition – LS6032). </w:t>
      </w:r>
      <w:r w:rsidRPr="2030048C">
        <w:rPr>
          <w:rFonts w:ascii="Arial" w:eastAsia="Arial" w:hAnsi="Arial" w:cs="Arial"/>
          <w:sz w:val="22"/>
          <w:szCs w:val="22"/>
        </w:rPr>
        <w:t xml:space="preserve">At level 6 the teaching and learning approach will also further progress student-led methodologies encouraging them to pursue their own lines of inquiry raised by previously learned experiences which will be encapsulated by the formulation and authoring of new knowledge through an independent research project (Nutrition Project – LS6015/ Sport and Exercise Science Project – LS6023). </w:t>
      </w:r>
      <w:r w:rsidRPr="2030048C">
        <w:rPr>
          <w:rFonts w:ascii="Arial" w:eastAsia="Arial" w:hAnsi="Arial" w:cs="Arial"/>
          <w:sz w:val="22"/>
          <w:szCs w:val="22"/>
        </w:rPr>
        <w:t xml:space="preserve">The research project at level 6 is the capstone project for the programme as it requires students to bring together all of the academic and professional skills they have developed to complete an independent, academic year long, piece of research with the guidance from both the project supervisor and the personal tutor. Research projects at Level 6 reflect the research and practice expertise of staff and also encourage students to participate in research collaborations between teaching staff in the School of Life Sciences, Pharmacy and Chemistry.  Topics include public health concerns, such as obesity, breastfeeding and physical activity, the impact of nutrition on exercise or sport performance and the relationship between body composition and health. </w:t>
      </w:r>
      <w:r w:rsidRPr="2030048C">
        <w:rPr>
          <w:rFonts w:ascii="Arial" w:eastAsia="Arial" w:hAnsi="Arial" w:cs="Arial"/>
          <w:sz w:val="22"/>
          <w:szCs w:val="22"/>
        </w:rPr>
        <w:t>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Students at all levels are also exposed to practice and employer-informed teaching, which is delivered either via scheduled talks and workshops via external conferences/events/lectures. Examples that have been offered include Food Matters Live (</w:t>
      </w:r>
      <w:hyperlink r:id="rId11" w:history="1">
        <w:r w:rsidRPr="2030048C">
          <w:rPr>
            <w:rFonts w:ascii="Arial" w:eastAsia="Arial" w:hAnsi="Arial" w:cs="Arial"/>
            <w:sz w:val="22"/>
            <w:szCs w:val="22"/>
          </w:rPr>
          <w:t>http://www.foodmatterslive.com/</w:t>
        </w:r>
      </w:hyperlink>
      <w:r w:rsidRPr="2030048C">
        <w:rPr>
          <w:rFonts w:ascii="Arial" w:eastAsia="Arial" w:hAnsi="Arial" w:cs="Arial"/>
          <w:sz w:val="22"/>
          <w:szCs w:val="22"/>
        </w:rPr>
        <w:t>), Dairy Council funded events on Sport and Nutrition (</w:t>
      </w:r>
      <w:hyperlink r:id="rId12" w:history="1">
        <w:r w:rsidRPr="2030048C">
          <w:rPr>
            <w:rFonts w:ascii="Arial" w:eastAsia="Arial" w:hAnsi="Arial" w:cs="Arial"/>
            <w:sz w:val="22"/>
            <w:szCs w:val="22"/>
          </w:rPr>
          <w:t>https://www.youtube.com/watch?v=0aA1xE2eomA</w:t>
        </w:r>
      </w:hyperlink>
      <w:r w:rsidRPr="2030048C">
        <w:rPr>
          <w:rFonts w:ascii="Arial" w:eastAsia="Arial" w:hAnsi="Arial" w:cs="Arial"/>
          <w:sz w:val="22"/>
          <w:szCs w:val="22"/>
        </w:rPr>
        <w:t xml:space="preserve">; </w:t>
      </w:r>
      <w:hyperlink r:id="rId13" w:history="1">
        <w:r w:rsidRPr="2030048C">
          <w:rPr>
            <w:rFonts w:ascii="Arial" w:eastAsia="Arial" w:hAnsi="Arial" w:cs="Arial"/>
            <w:sz w:val="22"/>
            <w:szCs w:val="22"/>
          </w:rPr>
          <w:t>https://www.facebook.com/KingstonUniversityNutrition/posts/965077236894419</w:t>
        </w:r>
      </w:hyperlink>
      <w:r w:rsidRPr="2030048C">
        <w:rPr>
          <w:rFonts w:ascii="Arial" w:eastAsia="Arial" w:hAnsi="Arial" w:cs="Arial"/>
          <w:sz w:val="22"/>
          <w:szCs w:val="22"/>
        </w:rPr>
        <w:t>)  and visits to and from GlaxoSmithKline (GSK) (</w:t>
      </w:r>
      <w:hyperlink r:id="rId14" w:history="1">
        <w:r w:rsidRPr="2030048C">
          <w:rPr>
            <w:rFonts w:ascii="Arial" w:eastAsia="Arial" w:hAnsi="Arial" w:cs="Arial"/>
            <w:sz w:val="22"/>
            <w:szCs w:val="22"/>
          </w:rPr>
          <w:t>https://www.facebook.com/KingstonUniversityNutrition/posts/905983549470455</w:t>
        </w:r>
      </w:hyperlink>
      <w:r w:rsidRPr="2030048C">
        <w:rPr>
          <w:rFonts w:ascii="Arial" w:eastAsia="Arial" w:hAnsi="Arial" w:cs="Arial"/>
          <w:sz w:val="22"/>
          <w:szCs w:val="22"/>
        </w:rPr>
        <w:t>)  and Leatherhead Food Research.  A number of these events are organised jointly with the student-led Kingston University Nutrition Society (</w:t>
      </w:r>
      <w:hyperlink r:id="rId15" w:history="1">
        <w:r w:rsidRPr="2030048C">
          <w:rPr>
            <w:rFonts w:ascii="Arial" w:eastAsia="Arial" w:hAnsi="Arial" w:cs="Arial"/>
            <w:sz w:val="22"/>
            <w:szCs w:val="22"/>
          </w:rPr>
          <w:t>http://www.kusu.co.uk/groups/kingston-university-nutrition-society</w:t>
        </w:r>
      </w:hyperlink>
      <w:r w:rsidRPr="2030048C">
        <w:rPr>
          <w:rFonts w:ascii="Arial" w:eastAsia="Arial" w:hAnsi="Arial" w:cs="Arial"/>
          <w:sz w:val="22"/>
          <w:szCs w:val="22"/>
        </w:rPr>
        <w:t xml:space="preserve">; </w:t>
      </w:r>
      <w:hyperlink r:id="rId16" w:history="1">
        <w:r w:rsidRPr="2030048C">
          <w:rPr>
            <w:rFonts w:ascii="Arial" w:eastAsia="Arial" w:hAnsi="Arial" w:cs="Arial"/>
            <w:sz w:val="22"/>
            <w:szCs w:val="22"/>
          </w:rPr>
          <w:t>https://www.facebook.com/kunutsoc/</w:t>
        </w:r>
      </w:hyperlink>
      <w:r w:rsidRPr="2030048C">
        <w:rPr>
          <w:rFonts w:ascii="Arial" w:eastAsia="Arial" w:hAnsi="Arial" w:cs="Arial"/>
          <w:sz w:val="22"/>
          <w:szCs w:val="22"/>
        </w:rPr>
        <w:t xml:space="preserve">) and form an integral part of the programme’s co-curricular strand (see Section E2). </w:t>
      </w:r>
      <w:r w:rsidRPr="2030048C">
        <w:rPr>
          <w:rFonts w:ascii="Arial" w:eastAsia="Arial" w:hAnsi="Arial" w:cs="Arial"/>
          <w:sz w:val="22"/>
          <w:szCs w:val="22"/>
        </w:rPr>
        <w:t xml:space="preserve">The use of these approaches informs students regarding current views by employers on issues ranging from the application of sport nutrition to the sport industry to the role of gut microbes in health and disease.  </w:t>
      </w:r>
      <w:r w:rsidRPr="2030048C">
        <w:rPr>
          <w:rFonts w:ascii="Arial" w:eastAsia="Arial" w:hAnsi="Arial" w:cs="Arial"/>
          <w:sz w:val="22"/>
          <w:szCs w:val="22"/>
        </w:rPr>
        <w:t xml:space="preserve">Both research and practice informed teaching are invaluable as they enable students to apply themselves towards discrimination between situations and analyses of problems by giving them real world situations and also keep them updated with regards to employer needs in the different areas of the nutrition sector. Several events also incorporate employability as speakers discuss what their roles involve and share tips about important points such as how to search for jobs or gain relevant experience.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lang w:val="en-US" w:eastAsia="en-US"/>
        </w:rPr>
        <w:t xml:space="preserve">A range of formative and summative assessment methods will be used that enable students to demonstrate the acquisition of knowledge and development of key and transferable skills. The assessment regime for each module has been designed to provide formative opportunities that allow students to practice and to receive feed-forward advice on their performance in preparation for the summative assessment. Methods include a personal development plan (PDP) as a summative coursework at level 4 which can be developed as students progress on the course, formal written examination, coursework, oral presentations, multiple choice questionnaires (MCQs), practical examinations, laboratory reports and poster presentations. At every level, care has been taken to avoid assessment bunching to allow every student the opportunity to perform at their best. </w:t>
      </w:r>
      <w:r w:rsidRPr="2030048C">
        <w:rPr>
          <w:rFonts w:ascii="Arial" w:eastAsia="Arial" w:hAnsi="Arial" w:cs="Arial"/>
          <w:sz w:val="22"/>
          <w:szCs w:val="22"/>
        </w:rPr>
        <w:t>While the curriculum has been designed to provide a range of assessments and allow a degree of flexibility, assessments at level 6 are focused primarily on the application of theories and techniques developed in levels 4 and 5.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Technology enhanced learning is used at all levels but increases as students progress through the programme to reflect their growing independence and skills base.</w:t>
      </w:r>
      <w:r w:rsidRPr="2030048C">
        <w:rPr>
          <w:rFonts w:ascii="Arial" w:eastAsia="Arial" w:hAnsi="Arial" w:cs="Arial"/>
          <w:b/>
          <w:bCs/>
          <w:sz w:val="22"/>
          <w:szCs w:val="22"/>
        </w:rPr>
        <w:t xml:space="preserve"> </w:t>
      </w:r>
      <w:r w:rsidRPr="2030048C">
        <w:rPr>
          <w:rFonts w:ascii="Arial" w:eastAsia="Arial" w:hAnsi="Arial" w:cs="Arial"/>
          <w:sz w:val="22"/>
          <w:szCs w:val="22"/>
        </w:rPr>
        <w:t xml:space="preserve">Technology enhanced learning (TEL)  as stated above is student-centred and student-led as students have been instrumental in helping staff identify and deliver what they (the students) need.  Peer and self-assessment for both written work captured in written format and delivered via Turnitin and Google Docs are used at Levels 4 and 5 to help students develop their essay writing skills.  Online workshops for providing instant feedback and in preparation for practicals and tests have proved to be popular especially as they help students to monitor their learning. Examples of where these have been used include:  an energy workshop at Level 4, which has allowed students to learn how nutritionists can replace laboratory techniques such as bomb calorimetry with basic mathematics to determine the energy content of food; and the use of a simple titration system to quantify vitamin C levels in foods. Online session-based MCQs with instant feedback, online tutorials </w:t>
      </w:r>
      <w:r w:rsidRPr="2030048C">
        <w:rPr>
          <w:rFonts w:ascii="Arial" w:eastAsia="Arial" w:hAnsi="Arial" w:cs="Arial"/>
          <w:sz w:val="22"/>
          <w:szCs w:val="22"/>
        </w:rPr>
        <w:t>on topical issues</w:t>
      </w:r>
      <w:r w:rsidRPr="2030048C">
        <w:rPr>
          <w:rFonts w:ascii="Arial" w:eastAsia="Arial" w:hAnsi="Arial" w:cs="Arial"/>
          <w:sz w:val="22"/>
          <w:szCs w:val="22"/>
        </w:rPr>
        <w:t xml:space="preserve"> to supplement lectures and subject based knowledge are used throughout the programme but especially at Level 6 so that students can appreciate complexities of issues, which on the surface appear simple, for example, the ongoing debate concerning whether or not governments should use legislation when it comes to the fortification of food, or reducing salt, sugar and fat intakes. Web technologies such as Facebook, Linkedin, Twitter (see below for more information) and Diigo are also used for creating online communities of learning at course, year and module level. These are used to set up online forums for student-student collaboration to discuss and share ideas related to assignments, and for raising the profile of nutrition, exercise and health related content available on the internet, raising awareness of, and educating students about, intellectual property (e.g. plagiarism and referencing).</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sz w:val="22"/>
          <w:szCs w:val="22"/>
        </w:rPr>
        <w:t xml:space="preserve">The personal tutor scheme (PTS) is an integral part of the programmes teaching and learning strategy as it contributes to enhancing the student experience and facilitates the development of the student into an independent learner who is able to reflect on and identify the skills they have required. From levels 4-6 the role of the personal tutor is to foster an academic relationship with their students. </w:t>
      </w:r>
      <w:r w:rsidRPr="2030048C">
        <w:rPr>
          <w:rFonts w:ascii="Arial" w:eastAsia="Arial" w:hAnsi="Arial" w:cs="Arial"/>
          <w:sz w:val="22"/>
          <w:szCs w:val="22"/>
        </w:rPr>
        <w:t>At level 4 the emphasis will be to aid the transition from the school/college environment, to gain the confidence to operate successfully in a university context and to generate a sense of belonging to Kingston University.  The module LS4011, which focuses on developing students’ research skills and enhancing their personal and academic success, will require regular meetings with a personal tutor during which a</w:t>
      </w:r>
      <w:r w:rsidRPr="2030048C">
        <w:rPr>
          <w:rFonts w:ascii="Arial" w:eastAsia="Arial" w:hAnsi="Arial" w:cs="Arial"/>
          <w:sz w:val="22"/>
          <w:szCs w:val="22"/>
        </w:rPr>
        <w:t xml:space="preserve"> Personal Development Plan (PDP) will be used to facilitate the articulation/reflection of the development of academic, personal and professional skills needed for higher education and the enhancement of employability.  The personal tutor will help students to develop good academic habits – for example how best to take notes during lectures and using appropriate teaching resources to supplement lecture material. The PDP will address generic academic and transferable skills (using the skills matrix below) but also the development of the AfN competencies using the matrix in Appendix 1 (see Assessment Strategies for more on how the matrix will be used).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At level 5 the personal tutor, supported through the content and assessment of Research Methods in Exercise Science (LS5012), works with students to help them to understand the importance of planning and managing their studies so that they are able to cope with the academic demands at this level by encouraging students to read up on a topic (on their own and/or as part of a study group) prior to the lecture or tutorial, demonstrating how best to use feedback, and encouraging </w:t>
      </w:r>
      <w:r w:rsidRPr="2030048C">
        <w:rPr>
          <w:rFonts w:ascii="Arial" w:eastAsia="Arial" w:hAnsi="Arial" w:cs="Arial"/>
          <w:sz w:val="22"/>
          <w:szCs w:val="22"/>
        </w:rPr>
        <w:t xml:space="preserve">students to be proactive in moving towards professional life and/or further study. </w:t>
      </w:r>
      <w:r w:rsidRPr="2030048C">
        <w:rPr>
          <w:rFonts w:ascii="Arial" w:eastAsia="Arial" w:hAnsi="Arial" w:cs="Arial"/>
          <w:sz w:val="22"/>
          <w:szCs w:val="22"/>
        </w:rPr>
        <w:t>In addition to facilitating the planning and management of their studies, this approach will help students develop subject specific and generic communication skills, interpersonal skills (as it encourages discussion between student and academic) and research and information literacy skills as students will begin to access peer reviewed articles. By level 6 the relationship between students and their personal tutor will have developed enough for the tutor to be able to advise students on how to plan and manage their time so as to best maximise success by helping the student to identify and address their strengths and weakness when it comes to studying. Following on from a planning/one to one meeting, the capstone project module (LS6015/LS6023) provides the opportunity for the personal tutor, in collaboration with the project supervisor, to help the student to hone the personal and professional skills required post-graduation. Again the PDP will form an integral part of this process.</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   </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The support offered through the PTS and the content of specific modules at each level therefore</w:t>
      </w:r>
      <w:r w:rsidRPr="2030048C">
        <w:rPr>
          <w:rFonts w:ascii="Arial" w:eastAsia="Arial" w:hAnsi="Arial" w:cs="Arial"/>
          <w:i/>
          <w:iCs/>
          <w:color w:val="000000"/>
          <w:sz w:val="22"/>
          <w:szCs w:val="22"/>
        </w:rPr>
        <w:t xml:space="preserve"> </w:t>
      </w:r>
      <w:r w:rsidRPr="2030048C">
        <w:rPr>
          <w:rFonts w:ascii="Arial" w:eastAsia="Arial" w:hAnsi="Arial" w:cs="Arial"/>
          <w:color w:val="000000"/>
          <w:sz w:val="22"/>
          <w:szCs w:val="22"/>
        </w:rPr>
        <w:t>allow students to monitor both progress and understanding by continually reflecting on their investment and contribution to the modules, the course and their personal and academic learning.</w:t>
      </w:r>
    </w:p>
    <w:p w:rsidRPr="2030048C" w:rsidP="2030048C">
      <w:pPr>
        <w:jc w:val="both"/>
        <w:rPr>
          <w:rFonts w:ascii="Arial" w:eastAsia="Arial" w:hAnsi="Arial" w:cs="Arial"/>
          <w:sz w:val="24"/>
          <w:szCs w:val="24"/>
        </w:rPr>
      </w:pPr>
      <w:r w:rsidRPr="2030048C">
        <w:rPr>
          <w:rFonts w:ascii="Arial" w:eastAsia="Arial" w:hAnsi="Arial" w:cs="Arial"/>
          <w:sz w:val="22"/>
          <w:szCs w:val="22"/>
        </w:rPr>
        <w:t>Further support for student learning is provided by the faculty’s study skills centre Academic Success Centre (ASC) and the Library.  Members of the teaching team promote the use of ASC and the Library in verbal and written feedback to students.  ASC</w:t>
      </w:r>
      <w:r w:rsidRPr="2030048C">
        <w:rPr>
          <w:rFonts w:ascii="Arial" w:eastAsia="Arial" w:hAnsi="Arial" w:cs="Arial"/>
          <w:sz w:val="22"/>
          <w:szCs w:val="22"/>
          <w:vertAlign w:val="superscript"/>
        </w:rPr>
        <w:t xml:space="preserve"> </w:t>
      </w:r>
      <w:r w:rsidRPr="2030048C">
        <w:rPr>
          <w:rFonts w:ascii="Arial" w:eastAsia="Arial" w:hAnsi="Arial" w:cs="Arial"/>
          <w:sz w:val="22"/>
          <w:szCs w:val="22"/>
        </w:rPr>
        <w:t>advises, and provides guidance to, students on following assignment guidelines, essay and practical writing, referencing, plagiarism, accessing appropriate material using the internet, using electronic repositories, e-books, scientific databases and the large number of nutrition and nutrition related e-journals.  Information about ASC and the Library is provided in course and module guides on Canvas (the university’s learning management system) and via ‘My Kingston’ and ‘NutCloud’ (</w:t>
      </w:r>
      <w:hyperlink r:id="rId17" w:history="1">
        <w:r w:rsidRPr="2030048C">
          <w:rPr>
            <w:rFonts w:ascii="Arial" w:eastAsia="Arial" w:hAnsi="Arial" w:cs="Arial"/>
            <w:sz w:val="22"/>
            <w:szCs w:val="22"/>
          </w:rPr>
          <w:t>http://bit.ly/nutcloud</w:t>
        </w:r>
      </w:hyperlink>
      <w:r w:rsidRPr="2030048C">
        <w:rPr>
          <w:rFonts w:ascii="Arial" w:eastAsia="Arial" w:hAnsi="Arial" w:cs="Arial"/>
          <w:sz w:val="22"/>
          <w:szCs w:val="22"/>
        </w:rPr>
        <w:t>) – a one-stop shop of the most accessed sites by nutrition students.</w:t>
      </w:r>
    </w:p>
    <w:p w:rsidRPr="2030048C" w:rsidP="2030048C">
      <w:pPr>
        <w:jc w:val="both"/>
        <w:rPr>
          <w:rFonts w:ascii="Arial" w:eastAsia="Arial" w:hAnsi="Arial" w:cs="Arial"/>
          <w:sz w:val="24"/>
          <w:szCs w:val="24"/>
        </w:rPr>
      </w:pPr>
      <w:r w:rsidRPr="2030048C">
        <w:rPr>
          <w:rFonts w:ascii="Arial" w:eastAsia="Arial" w:hAnsi="Arial" w:cs="Arial"/>
          <w:sz w:val="22"/>
          <w:szCs w:val="22"/>
        </w:rPr>
        <w:t> </w:t>
      </w:r>
    </w:p>
    <w:p w:rsidRPr="2030048C" w:rsidP="2030048C">
      <w:pPr>
        <w:jc w:val="both"/>
        <w:rPr>
          <w:rFonts w:ascii="Arial" w:eastAsia="Arial" w:hAnsi="Arial" w:cs="Arial"/>
          <w:sz w:val="24"/>
          <w:szCs w:val="24"/>
        </w:rPr>
      </w:pPr>
      <w:r w:rsidRPr="2030048C">
        <w:rPr>
          <w:rFonts w:ascii="Arial" w:eastAsia="Arial" w:hAnsi="Arial" w:cs="Arial"/>
          <w:sz w:val="22"/>
          <w:szCs w:val="22"/>
        </w:rPr>
        <w:t>Students are supported by:</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The course director to help students understand the programme structure and to provide academic and personal support</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A module leader for each module</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 xml:space="preserve">Personal tutor to provide academic and personal support through the </w:t>
      </w:r>
      <w:r w:rsidRPr="2030048C">
        <w:rPr>
          <w:rFonts w:ascii="Arial" w:eastAsia="Arial" w:hAnsi="Arial" w:cs="Arial"/>
          <w:sz w:val="22"/>
          <w:szCs w:val="22"/>
        </w:rPr>
        <w:t xml:space="preserve">Personal Tutor Scheme: this scheme provides students with the first line for academic and pastoral guidance and support all of which form an essential part of the student experience. </w:t>
      </w:r>
      <w:r w:rsidRPr="2030048C">
        <w:rPr>
          <w:rFonts w:ascii="Arial" w:eastAsia="Arial" w:hAnsi="Arial" w:cs="Arial"/>
          <w:b/>
          <w:bCs/>
          <w:sz w:val="22"/>
          <w:szCs w:val="22"/>
        </w:rPr>
        <w:t>See Sections E (E2), F and I for details.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A placement tutor to give general advice on placements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A designated programme administrator</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An induction week at the beginning of each new academic session</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Applied and Human Sciences Student Voice Committee</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Academic Success Centre (ASC) – to provide academic skills support including guidance on how to approach an assignment, writing skills, and providing feedback on assignments.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University support facilities that provide advice on issues such as finance, regulations, legal matters, accommodation and international student support</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IT services and support for students Canvas – a versatile online interactive intranet and learning environment</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‘My Kingston’,  ‘NutCloud’ (</w:t>
      </w:r>
      <w:hyperlink r:id="rId17" w:history="1">
        <w:r w:rsidRPr="2030048C">
          <w:rPr>
            <w:rFonts w:ascii="Arial" w:eastAsia="Arial" w:hAnsi="Arial" w:cs="Arial"/>
            <w:sz w:val="22"/>
            <w:szCs w:val="22"/>
          </w:rPr>
          <w:t>http://bit.ly/nutcloud</w:t>
        </w:r>
      </w:hyperlink>
      <w:r w:rsidRPr="2030048C">
        <w:rPr>
          <w:rFonts w:ascii="Arial" w:eastAsia="Arial" w:hAnsi="Arial" w:cs="Arial"/>
          <w:sz w:val="22"/>
          <w:szCs w:val="22"/>
        </w:rPr>
        <w:t>)  and SportExCloud (</w:t>
      </w:r>
      <w:hyperlink r:id="rId18" w:history="1">
        <w:r w:rsidRPr="2030048C">
          <w:rPr>
            <w:rFonts w:ascii="Arial" w:eastAsia="Arial" w:hAnsi="Arial" w:cs="Arial"/>
            <w:sz w:val="22"/>
            <w:szCs w:val="22"/>
          </w:rPr>
          <w:t>http://staffnet.kingston.ac.uk/~ku41812/SportExCloud/</w:t>
        </w:r>
      </w:hyperlink>
      <w:r w:rsidRPr="2030048C">
        <w:rPr>
          <w:rFonts w:ascii="Arial" w:eastAsia="Arial" w:hAnsi="Arial" w:cs="Arial"/>
          <w:sz w:val="22"/>
          <w:szCs w:val="22"/>
        </w:rPr>
        <w:t xml:space="preserve">) general and subject specific information sites.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The Library or library subject specialists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Careers and Employability Service</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Disability and Dyslexia Support</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Union of Kingston Students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Social Media: Facebook, LinkedIn and Twitter</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2"/>
          <w:szCs w:val="22"/>
        </w:rPr>
        <w:t>The University has several methods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Student Voice Committees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External examiners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Annual review and development</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Periodic review undertaken at the subject level</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Student evaluation</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Moderation policies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93"/>
        <w:gridCol w:w="388"/>
        <w:gridCol w:w="1"/>
        <w:gridCol w:w="663"/>
        <w:gridCol w:w="1"/>
        <w:gridCol w:w="663"/>
        <w:gridCol w:w="1"/>
        <w:gridCol w:w="663"/>
        <w:gridCol w:w="1"/>
        <w:gridCol w:w="663"/>
        <w:gridCol w:w="1"/>
        <w:gridCol w:w="1"/>
        <w:gridCol w:w="662"/>
        <w:gridCol w:w="1"/>
        <w:gridCol w:w="663"/>
        <w:gridCol w:w="1"/>
        <w:gridCol w:w="663"/>
        <w:gridCol w:w="1"/>
        <w:gridCol w:w="663"/>
        <w:gridCol w:w="1"/>
        <w:gridCol w:w="3"/>
        <w:gridCol w:w="660"/>
        <w:gridCol w:w="1"/>
        <w:gridCol w:w="663"/>
        <w:gridCol w:w="1"/>
        <w:gridCol w:w="68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10"/>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LS4013</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LS5020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LS5019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LS5014</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LS6035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LS6032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BK3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EK1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EK2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EK3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EK4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BK2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BK1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CK1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CK2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CK3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CK4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CK5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FK1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FK2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FK3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FK4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www.foodmatterslive.com/" TargetMode="External" /><Relationship Id="rId12" Type="http://schemas.openxmlformats.org/officeDocument/2006/relationships/hyperlink" Target="https://www.youtube.com/watch?v=0aA1xE2eomA" TargetMode="External" /><Relationship Id="rId13" Type="http://schemas.openxmlformats.org/officeDocument/2006/relationships/hyperlink" Target="https://www.facebook.com/KingstonUniversityNutrition/posts/965077236894419" TargetMode="External" /><Relationship Id="rId14" Type="http://schemas.openxmlformats.org/officeDocument/2006/relationships/hyperlink" Target="https://www.facebook.com/KingstonUniversityNutrition/posts/905983549470455" TargetMode="External" /><Relationship Id="rId15" Type="http://schemas.openxmlformats.org/officeDocument/2006/relationships/hyperlink" Target="http://www.kusu.co.uk/groups/kingston-university-nutrition-society" TargetMode="External" /><Relationship Id="rId16" Type="http://schemas.openxmlformats.org/officeDocument/2006/relationships/hyperlink" Target="https://www.facebook.com/kunutsoc/" TargetMode="External" /><Relationship Id="rId17" Type="http://schemas.openxmlformats.org/officeDocument/2006/relationships/hyperlink" Target="http://bit.ly/nutcloud" TargetMode="External" /><Relationship Id="rId18" Type="http://schemas.openxmlformats.org/officeDocument/2006/relationships/hyperlink" Target="http://staffnet.kingston.ac.uk/~ku41812/SportExCloud/"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