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41C5391A" w:rsidR="00A92C9B" w:rsidRPr="00DA2044" w:rsidRDefault="00A92C9B" w:rsidP="00A92C9B">
      <w:pPr>
        <w:rPr>
          <w:rFonts w:ascii="Arial" w:hAnsi="Arial" w:cs="Arial"/>
          <w:b/>
        </w:rPr>
      </w:pP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31AD2B6D" w:rsidR="00A92C9B" w:rsidRPr="00DA2044" w:rsidRDefault="00A92C9B" w:rsidP="00A92C9B">
      <w:pPr>
        <w:rPr>
          <w:rFonts w:ascii="Arial" w:hAnsi="Arial" w:cs="Arial"/>
          <w:b/>
          <w:sz w:val="28"/>
        </w:rPr>
      </w:pPr>
      <w:r w:rsidRPr="00DA2044">
        <w:rPr>
          <w:rFonts w:ascii="Arial" w:hAnsi="Arial" w:cs="Arial"/>
          <w:b/>
          <w:sz w:val="28"/>
        </w:rPr>
        <w:t>Title of Course:</w:t>
      </w:r>
      <w:r w:rsidR="000573A7">
        <w:rPr>
          <w:rFonts w:ascii="Arial" w:hAnsi="Arial" w:cs="Arial"/>
          <w:b/>
          <w:sz w:val="28"/>
        </w:rPr>
        <w:t xml:space="preserve"> </w:t>
      </w:r>
      <w:r w:rsidR="00C73B6E">
        <w:rPr>
          <w:rFonts w:ascii="Arial" w:hAnsi="Arial" w:cs="Arial"/>
          <w:b/>
          <w:sz w:val="28"/>
        </w:rPr>
        <w:t>P</w:t>
      </w:r>
      <w:r w:rsidR="005F1A8D">
        <w:rPr>
          <w:rFonts w:ascii="Arial" w:hAnsi="Arial" w:cs="Arial"/>
          <w:b/>
          <w:sz w:val="28"/>
        </w:rPr>
        <w:t xml:space="preserve">G </w:t>
      </w:r>
      <w:r w:rsidR="00C73B6E">
        <w:rPr>
          <w:rFonts w:ascii="Arial" w:hAnsi="Arial" w:cs="Arial"/>
          <w:b/>
          <w:sz w:val="28"/>
        </w:rPr>
        <w:t>Cert Independent/ Supplementary Prescribing for Nurses and Midwives</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DCD69CB" w:rsidR="00A92C9B" w:rsidRPr="00970D87" w:rsidRDefault="000573A7"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19/11/21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697FCBF1" w:rsidR="00A92C9B" w:rsidRPr="00C1388B" w:rsidRDefault="003B6F9A" w:rsidP="00AD72D1">
            <w:pPr>
              <w:widowControl w:val="0"/>
              <w:tabs>
                <w:tab w:val="center" w:pos="4153"/>
                <w:tab w:val="right" w:pos="9072"/>
              </w:tabs>
              <w:rPr>
                <w:rFonts w:ascii="Arial" w:hAnsi="Arial" w:cs="Arial"/>
                <w:iCs/>
                <w:snapToGrid w:val="0"/>
                <w:sz w:val="20"/>
                <w:szCs w:val="20"/>
              </w:rPr>
            </w:pPr>
            <w:r>
              <w:rPr>
                <w:rFonts w:ascii="Arial" w:hAnsi="Arial" w:cs="Arial"/>
                <w:iCs/>
                <w:snapToGrid w:val="0"/>
                <w:sz w:val="20"/>
                <w:szCs w:val="20"/>
              </w:rPr>
              <w:t>18</w:t>
            </w:r>
            <w:r w:rsidR="00C1388B">
              <w:rPr>
                <w:rFonts w:ascii="Arial" w:hAnsi="Arial" w:cs="Arial"/>
                <w:iCs/>
                <w:snapToGrid w:val="0"/>
                <w:sz w:val="20"/>
                <w:szCs w:val="20"/>
              </w:rPr>
              <w:t>/0</w:t>
            </w:r>
            <w:r>
              <w:rPr>
                <w:rFonts w:ascii="Arial" w:hAnsi="Arial" w:cs="Arial"/>
                <w:iCs/>
                <w:snapToGrid w:val="0"/>
                <w:sz w:val="20"/>
                <w:szCs w:val="20"/>
              </w:rPr>
              <w:t>3</w:t>
            </w:r>
            <w:r w:rsidR="00C1388B">
              <w:rPr>
                <w:rFonts w:ascii="Arial" w:hAnsi="Arial" w:cs="Arial"/>
                <w:iCs/>
                <w:snapToGrid w:val="0"/>
                <w:sz w:val="20"/>
                <w:szCs w:val="20"/>
              </w:rPr>
              <w:t>/22</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19C4B57D" w:rsidR="00A92C9B" w:rsidRPr="00970D87" w:rsidRDefault="000573A7"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 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6516EA4" w:rsidR="00A92C9B" w:rsidRPr="00970D87" w:rsidRDefault="003B6F9A"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5</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794F31FD" w:rsidR="00A92C9B" w:rsidRPr="00970D87" w:rsidRDefault="000573A7"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Faculty of Health, </w:t>
            </w:r>
            <w:r w:rsidR="00EF2880">
              <w:rPr>
                <w:rFonts w:ascii="Arial" w:hAnsi="Arial" w:cs="Arial"/>
                <w:snapToGrid w:val="0"/>
                <w:sz w:val="20"/>
                <w:szCs w:val="20"/>
              </w:rPr>
              <w:t xml:space="preserve">Science, </w:t>
            </w:r>
            <w:r>
              <w:rPr>
                <w:rFonts w:ascii="Arial" w:hAnsi="Arial" w:cs="Arial"/>
                <w:snapToGrid w:val="0"/>
                <w:sz w:val="20"/>
                <w:szCs w:val="20"/>
              </w:rPr>
              <w:t xml:space="preserve">Social </w:t>
            </w:r>
            <w:r w:rsidR="00C73B6E">
              <w:rPr>
                <w:rFonts w:ascii="Arial" w:hAnsi="Arial" w:cs="Arial"/>
                <w:snapToGrid w:val="0"/>
                <w:sz w:val="20"/>
                <w:szCs w:val="20"/>
              </w:rPr>
              <w:t>C</w:t>
            </w:r>
            <w:r>
              <w:rPr>
                <w:rFonts w:ascii="Arial" w:hAnsi="Arial" w:cs="Arial"/>
                <w:snapToGrid w:val="0"/>
                <w:sz w:val="20"/>
                <w:szCs w:val="20"/>
              </w:rPr>
              <w:t>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1B42A22" w:rsidR="00A92C9B" w:rsidRPr="00970D87" w:rsidRDefault="000573A7"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77777777" w:rsidR="00A92C9B" w:rsidRPr="00970D87" w:rsidRDefault="00A92C9B" w:rsidP="00AD72D1">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068AA985" w:rsidR="00A92C9B" w:rsidRPr="00970D87" w:rsidRDefault="000573A7"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797C612"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A92C9B" w:rsidRPr="00BF1022" w14:paraId="0C3D9FCF" w14:textId="77777777" w:rsidTr="00B642FC">
        <w:tc>
          <w:tcPr>
            <w:tcW w:w="2830"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6186" w:type="dxa"/>
          </w:tcPr>
          <w:p w14:paraId="507DFC1C" w14:textId="35651305" w:rsidR="00A92C9B" w:rsidRPr="000573A7" w:rsidRDefault="000573A7" w:rsidP="000573A7">
            <w:pPr>
              <w:rPr>
                <w:rFonts w:ascii="Arial" w:hAnsi="Arial" w:cs="Arial"/>
                <w:iCs/>
                <w:sz w:val="22"/>
                <w:szCs w:val="22"/>
              </w:rPr>
            </w:pPr>
            <w:r w:rsidRPr="000573A7">
              <w:rPr>
                <w:rFonts w:ascii="Arial" w:hAnsi="Arial" w:cs="Arial"/>
                <w:iCs/>
                <w:sz w:val="22"/>
                <w:szCs w:val="22"/>
              </w:rPr>
              <w:t>P</w:t>
            </w:r>
            <w:r>
              <w:rPr>
                <w:rFonts w:ascii="Arial" w:hAnsi="Arial" w:cs="Arial"/>
                <w:iCs/>
                <w:sz w:val="22"/>
                <w:szCs w:val="22"/>
              </w:rPr>
              <w:t>g</w:t>
            </w:r>
            <w:r w:rsidRPr="000573A7">
              <w:rPr>
                <w:rFonts w:ascii="Arial" w:hAnsi="Arial" w:cs="Arial"/>
                <w:iCs/>
                <w:sz w:val="22"/>
                <w:szCs w:val="22"/>
              </w:rPr>
              <w:t xml:space="preserve">Cert </w:t>
            </w:r>
            <w:r w:rsidR="00EC0856">
              <w:rPr>
                <w:rFonts w:ascii="Arial" w:hAnsi="Arial" w:cs="Arial"/>
                <w:iCs/>
                <w:sz w:val="22"/>
                <w:szCs w:val="22"/>
              </w:rPr>
              <w:t xml:space="preserve">Independent/ Supplementary Prescribing for Nurses and Midwives </w:t>
            </w:r>
          </w:p>
        </w:tc>
      </w:tr>
      <w:tr w:rsidR="00A92C9B" w:rsidRPr="00BF1022" w14:paraId="61FE1C85" w14:textId="77777777" w:rsidTr="00B642FC">
        <w:tc>
          <w:tcPr>
            <w:tcW w:w="2830" w:type="dxa"/>
          </w:tcPr>
          <w:p w14:paraId="33286F50" w14:textId="77777777"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p>
        </w:tc>
        <w:tc>
          <w:tcPr>
            <w:tcW w:w="6186" w:type="dxa"/>
          </w:tcPr>
          <w:p w14:paraId="779D20BE" w14:textId="22059ED3" w:rsidR="00A92C9B" w:rsidRPr="00EC0856" w:rsidRDefault="00EC0856" w:rsidP="00EC0856">
            <w:pPr>
              <w:rPr>
                <w:rFonts w:ascii="Arial" w:hAnsi="Arial" w:cs="Arial"/>
                <w:iCs/>
                <w:color w:val="FF0000"/>
                <w:sz w:val="22"/>
                <w:szCs w:val="22"/>
              </w:rPr>
            </w:pPr>
            <w:r w:rsidRPr="00EC0856">
              <w:rPr>
                <w:rFonts w:ascii="Arial" w:hAnsi="Arial" w:cs="Arial"/>
                <w:iCs/>
                <w:sz w:val="22"/>
                <w:szCs w:val="22"/>
              </w:rPr>
              <w:t>None</w:t>
            </w:r>
          </w:p>
        </w:tc>
      </w:tr>
      <w:tr w:rsidR="00A92C9B" w:rsidRPr="00BF1022" w14:paraId="644D12BB" w14:textId="77777777" w:rsidTr="00B642FC">
        <w:tc>
          <w:tcPr>
            <w:tcW w:w="2830" w:type="dxa"/>
          </w:tcPr>
          <w:p w14:paraId="6C991220" w14:textId="77777777"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AD72D1">
            <w:pPr>
              <w:rPr>
                <w:rFonts w:ascii="Arial" w:hAnsi="Arial" w:cs="Arial"/>
                <w:b/>
                <w:sz w:val="22"/>
                <w:szCs w:val="22"/>
              </w:rPr>
            </w:pPr>
          </w:p>
        </w:tc>
        <w:tc>
          <w:tcPr>
            <w:tcW w:w="6186" w:type="dxa"/>
          </w:tcPr>
          <w:p w14:paraId="3824513B" w14:textId="58C85201" w:rsidR="00A92C9B" w:rsidRPr="00EC0856" w:rsidRDefault="00EC0856" w:rsidP="00EC0856">
            <w:pPr>
              <w:rPr>
                <w:rFonts w:ascii="Arial" w:hAnsi="Arial" w:cs="Arial"/>
                <w:iCs/>
                <w:sz w:val="22"/>
                <w:szCs w:val="22"/>
              </w:rPr>
            </w:pPr>
            <w:r>
              <w:rPr>
                <w:rFonts w:ascii="Arial" w:hAnsi="Arial" w:cs="Arial"/>
                <w:iCs/>
                <w:sz w:val="22"/>
                <w:szCs w:val="22"/>
              </w:rPr>
              <w:t>PgCert Level 7</w:t>
            </w:r>
          </w:p>
        </w:tc>
      </w:tr>
      <w:tr w:rsidR="00A92C9B" w:rsidRPr="00BF1022" w14:paraId="097980E5" w14:textId="77777777" w:rsidTr="00B642FC">
        <w:tc>
          <w:tcPr>
            <w:tcW w:w="2830" w:type="dxa"/>
          </w:tcPr>
          <w:p w14:paraId="7BD48904"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D72D1">
            <w:pPr>
              <w:rPr>
                <w:rFonts w:ascii="Arial" w:hAnsi="Arial" w:cs="Arial"/>
                <w:b/>
                <w:sz w:val="22"/>
                <w:szCs w:val="22"/>
              </w:rPr>
            </w:pPr>
          </w:p>
        </w:tc>
        <w:tc>
          <w:tcPr>
            <w:tcW w:w="6186" w:type="dxa"/>
          </w:tcPr>
          <w:p w14:paraId="4B1F43D1" w14:textId="77777777" w:rsidR="00A92C9B" w:rsidRPr="00BF1022" w:rsidRDefault="00A92C9B" w:rsidP="00AD72D1">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642FC">
        <w:tc>
          <w:tcPr>
            <w:tcW w:w="2830" w:type="dxa"/>
          </w:tcPr>
          <w:p w14:paraId="15528E1C" w14:textId="77777777" w:rsidR="00A92C9B" w:rsidRPr="00BF1022" w:rsidRDefault="00A92C9B" w:rsidP="00AD72D1">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AD72D1">
            <w:pPr>
              <w:rPr>
                <w:rFonts w:ascii="Arial" w:hAnsi="Arial" w:cs="Arial"/>
                <w:b/>
                <w:sz w:val="22"/>
                <w:szCs w:val="22"/>
              </w:rPr>
            </w:pPr>
          </w:p>
        </w:tc>
        <w:tc>
          <w:tcPr>
            <w:tcW w:w="6186" w:type="dxa"/>
          </w:tcPr>
          <w:p w14:paraId="18CE145D" w14:textId="39367DA8" w:rsidR="00A92C9B" w:rsidRPr="00EC0856" w:rsidRDefault="00EC0856" w:rsidP="00AD72D1">
            <w:pPr>
              <w:rPr>
                <w:rFonts w:ascii="Arial" w:hAnsi="Arial" w:cs="Arial"/>
                <w:iCs/>
                <w:sz w:val="22"/>
                <w:szCs w:val="22"/>
              </w:rPr>
            </w:pPr>
            <w:r w:rsidRPr="00EC0856">
              <w:rPr>
                <w:rFonts w:ascii="Arial" w:hAnsi="Arial" w:cs="Arial"/>
                <w:iCs/>
                <w:sz w:val="22"/>
                <w:szCs w:val="22"/>
              </w:rPr>
              <w:t>Kingston University</w:t>
            </w:r>
          </w:p>
          <w:p w14:paraId="34EFE47D" w14:textId="77777777" w:rsidR="00A92C9B" w:rsidRPr="00BF1022" w:rsidRDefault="00A92C9B" w:rsidP="00AD72D1">
            <w:pPr>
              <w:rPr>
                <w:rFonts w:ascii="Arial" w:hAnsi="Arial" w:cs="Arial"/>
                <w:i/>
                <w:color w:val="FF0000"/>
                <w:sz w:val="22"/>
                <w:szCs w:val="22"/>
              </w:rPr>
            </w:pPr>
          </w:p>
        </w:tc>
      </w:tr>
      <w:tr w:rsidR="00A92C9B" w:rsidRPr="00BF1022" w14:paraId="490F765D" w14:textId="77777777" w:rsidTr="00B642FC">
        <w:tc>
          <w:tcPr>
            <w:tcW w:w="2830" w:type="dxa"/>
          </w:tcPr>
          <w:p w14:paraId="6DBD4986" w14:textId="77777777" w:rsidR="00A92C9B" w:rsidRPr="00BF1022" w:rsidRDefault="00A92C9B" w:rsidP="00AD72D1">
            <w:pPr>
              <w:rPr>
                <w:rFonts w:ascii="Arial" w:hAnsi="Arial" w:cs="Arial"/>
                <w:b/>
                <w:sz w:val="22"/>
                <w:szCs w:val="22"/>
              </w:rPr>
            </w:pPr>
            <w:r w:rsidRPr="00BF1022">
              <w:rPr>
                <w:rFonts w:ascii="Arial" w:hAnsi="Arial" w:cs="Arial"/>
                <w:b/>
                <w:sz w:val="22"/>
                <w:szCs w:val="22"/>
              </w:rPr>
              <w:t>Location:</w:t>
            </w:r>
          </w:p>
        </w:tc>
        <w:tc>
          <w:tcPr>
            <w:tcW w:w="6186" w:type="dxa"/>
          </w:tcPr>
          <w:p w14:paraId="3ADCF0D2" w14:textId="7AF66FD0" w:rsidR="00A92C9B" w:rsidRPr="00EC0856" w:rsidRDefault="00EC0856" w:rsidP="00EC0856">
            <w:pPr>
              <w:rPr>
                <w:rFonts w:ascii="Arial" w:hAnsi="Arial" w:cs="Arial"/>
                <w:iCs/>
                <w:sz w:val="22"/>
                <w:szCs w:val="22"/>
              </w:rPr>
            </w:pPr>
            <w:r>
              <w:rPr>
                <w:rFonts w:ascii="Arial" w:hAnsi="Arial" w:cs="Arial"/>
                <w:iCs/>
                <w:sz w:val="22"/>
                <w:szCs w:val="22"/>
              </w:rPr>
              <w:t>Kingston Hill campus</w:t>
            </w:r>
          </w:p>
        </w:tc>
      </w:tr>
      <w:tr w:rsidR="00A92C9B" w:rsidRPr="00BF1022" w14:paraId="5F54BDB5" w14:textId="77777777" w:rsidTr="00B642FC">
        <w:tc>
          <w:tcPr>
            <w:tcW w:w="2830" w:type="dxa"/>
          </w:tcPr>
          <w:p w14:paraId="713CB1F6" w14:textId="77777777" w:rsidR="00A92C9B" w:rsidRPr="00BF1022" w:rsidRDefault="00A92C9B" w:rsidP="00AD72D1">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AD72D1">
            <w:pPr>
              <w:rPr>
                <w:rFonts w:ascii="Arial" w:hAnsi="Arial" w:cs="Arial"/>
                <w:b/>
                <w:sz w:val="22"/>
                <w:szCs w:val="22"/>
              </w:rPr>
            </w:pPr>
          </w:p>
        </w:tc>
        <w:tc>
          <w:tcPr>
            <w:tcW w:w="6186" w:type="dxa"/>
          </w:tcPr>
          <w:p w14:paraId="288A5E69" w14:textId="51C46B69" w:rsidR="00A92C9B" w:rsidRPr="00EC0856" w:rsidRDefault="00EC0856" w:rsidP="00AD72D1">
            <w:pPr>
              <w:rPr>
                <w:rFonts w:ascii="Arial" w:hAnsi="Arial" w:cs="Arial"/>
                <w:iCs/>
                <w:color w:val="FF0000"/>
                <w:sz w:val="22"/>
                <w:szCs w:val="22"/>
              </w:rPr>
            </w:pPr>
            <w:r w:rsidRPr="00EC0856">
              <w:rPr>
                <w:rFonts w:ascii="Arial" w:hAnsi="Arial" w:cs="Arial"/>
                <w:iCs/>
                <w:sz w:val="22"/>
                <w:szCs w:val="22"/>
              </w:rPr>
              <w:t>English</w:t>
            </w:r>
          </w:p>
        </w:tc>
      </w:tr>
      <w:tr w:rsidR="00A92C9B" w:rsidRPr="00BF1022" w14:paraId="421784EB" w14:textId="77777777" w:rsidTr="00B642FC">
        <w:tc>
          <w:tcPr>
            <w:tcW w:w="2830" w:type="dxa"/>
          </w:tcPr>
          <w:p w14:paraId="50FEA13E" w14:textId="77777777" w:rsidR="00A92C9B" w:rsidRPr="00BF1022" w:rsidRDefault="00A92C9B" w:rsidP="00AD72D1">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D72D1">
            <w:pPr>
              <w:rPr>
                <w:rFonts w:ascii="Arial" w:hAnsi="Arial" w:cs="Arial"/>
                <w:b/>
                <w:sz w:val="22"/>
                <w:szCs w:val="22"/>
              </w:rPr>
            </w:pPr>
          </w:p>
        </w:tc>
        <w:tc>
          <w:tcPr>
            <w:tcW w:w="6186" w:type="dxa"/>
            <w:shd w:val="clear" w:color="auto" w:fill="auto"/>
          </w:tcPr>
          <w:p w14:paraId="7240FC2F" w14:textId="5C9A5A66" w:rsidR="00A92C9B" w:rsidRPr="00EC0856" w:rsidRDefault="00EC0856" w:rsidP="00970D87">
            <w:pPr>
              <w:rPr>
                <w:rFonts w:ascii="Arial" w:hAnsi="Arial" w:cs="Arial"/>
                <w:iCs/>
                <w:color w:val="FF0000"/>
                <w:sz w:val="22"/>
                <w:szCs w:val="22"/>
              </w:rPr>
            </w:pPr>
            <w:r w:rsidRPr="00EC0856">
              <w:rPr>
                <w:rFonts w:ascii="Arial" w:hAnsi="Arial" w:cs="Arial"/>
                <w:iCs/>
                <w:sz w:val="22"/>
                <w:szCs w:val="22"/>
              </w:rPr>
              <w:t>Part time</w:t>
            </w:r>
          </w:p>
        </w:tc>
      </w:tr>
      <w:tr w:rsidR="00A92C9B" w:rsidRPr="00BF1022" w14:paraId="7CF0CC64" w14:textId="77777777" w:rsidTr="00B642FC">
        <w:tc>
          <w:tcPr>
            <w:tcW w:w="2830"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6186" w:type="dxa"/>
          </w:tcPr>
          <w:p w14:paraId="5CA52726" w14:textId="0AC6D0D4" w:rsidR="00A92C9B" w:rsidRPr="00BF1022" w:rsidRDefault="00530C7D" w:rsidP="00AD72D1">
            <w:pPr>
              <w:rPr>
                <w:rFonts w:ascii="Arial" w:hAnsi="Arial" w:cs="Arial"/>
                <w:sz w:val="22"/>
                <w:szCs w:val="22"/>
              </w:rPr>
            </w:pPr>
            <w:r>
              <w:rPr>
                <w:rFonts w:ascii="Arial" w:hAnsi="Arial" w:cs="Arial"/>
                <w:sz w:val="22"/>
                <w:szCs w:val="22"/>
              </w:rPr>
              <w:t>H</w:t>
            </w:r>
            <w:r w:rsidR="00A92C9B" w:rsidRPr="00BF1022">
              <w:rPr>
                <w:rFonts w:ascii="Arial" w:hAnsi="Arial" w:cs="Arial"/>
                <w:sz w:val="22"/>
                <w:szCs w:val="22"/>
              </w:rPr>
              <w:t>alf field</w:t>
            </w:r>
          </w:p>
          <w:p w14:paraId="46DBBA17" w14:textId="77777777" w:rsidR="00A92C9B" w:rsidRPr="00BF1022" w:rsidRDefault="00A92C9B" w:rsidP="00AD72D1">
            <w:pPr>
              <w:rPr>
                <w:rFonts w:ascii="Arial" w:hAnsi="Arial" w:cs="Arial"/>
                <w:sz w:val="22"/>
                <w:szCs w:val="22"/>
              </w:rPr>
            </w:pPr>
          </w:p>
          <w:p w14:paraId="767EE3A9" w14:textId="4A1A73F2" w:rsidR="00A92C9B" w:rsidRPr="00BF1022" w:rsidRDefault="00A92C9B" w:rsidP="00AD72D1">
            <w:pPr>
              <w:rPr>
                <w:rFonts w:ascii="Arial" w:hAnsi="Arial" w:cs="Arial"/>
                <w:i/>
                <w:color w:val="FF0000"/>
                <w:sz w:val="22"/>
                <w:szCs w:val="22"/>
              </w:rPr>
            </w:pPr>
          </w:p>
        </w:tc>
      </w:tr>
      <w:tr w:rsidR="00A92C9B" w:rsidRPr="00BF1022" w14:paraId="0AB42F90" w14:textId="77777777" w:rsidTr="00B642FC">
        <w:tc>
          <w:tcPr>
            <w:tcW w:w="2830"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6186" w:type="dxa"/>
          </w:tcPr>
          <w:p w14:paraId="4AB48737" w14:textId="14D35B03" w:rsidR="00A92C9B" w:rsidRPr="00530C7D" w:rsidRDefault="00530C7D" w:rsidP="00530C7D">
            <w:pPr>
              <w:rPr>
                <w:rFonts w:ascii="Arial" w:hAnsi="Arial" w:cs="Arial"/>
                <w:iCs/>
                <w:sz w:val="22"/>
                <w:szCs w:val="22"/>
              </w:rPr>
            </w:pPr>
            <w:r>
              <w:rPr>
                <w:rFonts w:ascii="Arial" w:hAnsi="Arial" w:cs="Arial"/>
                <w:iCs/>
                <w:sz w:val="22"/>
                <w:szCs w:val="22"/>
              </w:rPr>
              <w:t xml:space="preserve">One year </w:t>
            </w:r>
          </w:p>
        </w:tc>
      </w:tr>
      <w:tr w:rsidR="00A92C9B" w:rsidRPr="00BF1022" w14:paraId="2056D785" w14:textId="77777777" w:rsidTr="00B642FC">
        <w:tc>
          <w:tcPr>
            <w:tcW w:w="2830"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6186" w:type="dxa"/>
          </w:tcPr>
          <w:p w14:paraId="31763EE0" w14:textId="06CEEEDF" w:rsidR="00A92C9B" w:rsidRPr="00D83ECA" w:rsidRDefault="00D83ECA" w:rsidP="00D83ECA">
            <w:pPr>
              <w:rPr>
                <w:rFonts w:ascii="Arial" w:hAnsi="Arial" w:cs="Arial"/>
                <w:iCs/>
                <w:sz w:val="22"/>
                <w:szCs w:val="22"/>
              </w:rPr>
            </w:pPr>
            <w:r>
              <w:rPr>
                <w:rFonts w:ascii="Arial" w:hAnsi="Arial" w:cs="Arial"/>
                <w:iCs/>
                <w:sz w:val="22"/>
                <w:szCs w:val="22"/>
              </w:rPr>
              <w:t>Two years</w:t>
            </w:r>
          </w:p>
        </w:tc>
      </w:tr>
      <w:tr w:rsidR="00A92C9B" w:rsidRPr="005E2E71" w14:paraId="315211C4" w14:textId="77777777" w:rsidTr="00B642FC">
        <w:tc>
          <w:tcPr>
            <w:tcW w:w="2830" w:type="dxa"/>
          </w:tcPr>
          <w:p w14:paraId="3E96C004" w14:textId="77777777" w:rsidR="00A92C9B" w:rsidRPr="005E2E71" w:rsidRDefault="00A92C9B" w:rsidP="00AD72D1">
            <w:pPr>
              <w:rPr>
                <w:rFonts w:ascii="Arial" w:hAnsi="Arial" w:cs="Arial"/>
                <w:b/>
                <w:sz w:val="22"/>
                <w:szCs w:val="22"/>
              </w:rPr>
            </w:pPr>
            <w:r w:rsidRPr="005E2E71">
              <w:rPr>
                <w:rFonts w:ascii="Arial" w:hAnsi="Arial" w:cs="Arial"/>
                <w:b/>
                <w:sz w:val="22"/>
                <w:szCs w:val="22"/>
              </w:rPr>
              <w:t xml:space="preserve">Entry Requirements: </w:t>
            </w:r>
          </w:p>
        </w:tc>
        <w:tc>
          <w:tcPr>
            <w:tcW w:w="6186" w:type="dxa"/>
          </w:tcPr>
          <w:p w14:paraId="7DBE3B32" w14:textId="04FEF274" w:rsidR="00D83ECA" w:rsidRPr="005E2E71" w:rsidRDefault="00A92C9B" w:rsidP="00C73B6E">
            <w:pPr>
              <w:rPr>
                <w:rFonts w:ascii="Arial" w:hAnsi="Arial" w:cs="Arial"/>
                <w:sz w:val="22"/>
                <w:szCs w:val="22"/>
              </w:rPr>
            </w:pPr>
            <w:r w:rsidRPr="005E2E71">
              <w:rPr>
                <w:rFonts w:ascii="Arial" w:hAnsi="Arial" w:cs="Arial"/>
                <w:sz w:val="22"/>
                <w:szCs w:val="22"/>
              </w:rPr>
              <w:t>The</w:t>
            </w:r>
            <w:r w:rsidR="003D22E3" w:rsidRPr="005E2E71">
              <w:rPr>
                <w:rFonts w:ascii="Arial" w:hAnsi="Arial" w:cs="Arial"/>
                <w:sz w:val="22"/>
                <w:szCs w:val="22"/>
              </w:rPr>
              <w:t xml:space="preserve"> </w:t>
            </w:r>
            <w:r w:rsidRPr="005E2E71">
              <w:rPr>
                <w:rFonts w:ascii="Arial" w:hAnsi="Arial" w:cs="Arial"/>
                <w:sz w:val="22"/>
                <w:szCs w:val="22"/>
              </w:rPr>
              <w:t xml:space="preserve">entry </w:t>
            </w:r>
            <w:r w:rsidR="00771ACB" w:rsidRPr="005E2E71">
              <w:rPr>
                <w:rFonts w:ascii="Arial" w:hAnsi="Arial" w:cs="Arial"/>
                <w:sz w:val="22"/>
                <w:szCs w:val="22"/>
              </w:rPr>
              <w:t>requirements</w:t>
            </w:r>
            <w:r w:rsidRPr="005E2E71">
              <w:rPr>
                <w:rFonts w:ascii="Arial" w:hAnsi="Arial" w:cs="Arial"/>
                <w:sz w:val="22"/>
                <w:szCs w:val="22"/>
              </w:rPr>
              <w:t xml:space="preserve"> for the programme </w:t>
            </w:r>
            <w:r w:rsidR="00C73B6E" w:rsidRPr="005E2E71">
              <w:rPr>
                <w:rFonts w:ascii="Arial" w:hAnsi="Arial" w:cs="Arial"/>
                <w:sz w:val="22"/>
                <w:szCs w:val="22"/>
              </w:rPr>
              <w:t>are</w:t>
            </w:r>
            <w:r w:rsidR="005B3EBB" w:rsidRPr="005E2E71">
              <w:rPr>
                <w:rFonts w:ascii="Arial" w:hAnsi="Arial" w:cs="Arial"/>
                <w:sz w:val="22"/>
                <w:szCs w:val="22"/>
              </w:rPr>
              <w:t xml:space="preserve"> as follows.</w:t>
            </w:r>
          </w:p>
          <w:p w14:paraId="05F1D937" w14:textId="79CDF962" w:rsidR="00D83ECA" w:rsidRPr="005E2E71" w:rsidRDefault="00D83ECA" w:rsidP="00D83ECA">
            <w:pPr>
              <w:numPr>
                <w:ilvl w:val="0"/>
                <w:numId w:val="3"/>
              </w:numPr>
              <w:rPr>
                <w:rFonts w:ascii="Arial" w:hAnsi="Arial" w:cs="Arial"/>
                <w:sz w:val="22"/>
                <w:szCs w:val="22"/>
              </w:rPr>
            </w:pPr>
            <w:r w:rsidRPr="005E2E71">
              <w:rPr>
                <w:rFonts w:ascii="Arial" w:hAnsi="Arial" w:cs="Arial"/>
                <w:sz w:val="22"/>
                <w:szCs w:val="22"/>
              </w:rPr>
              <w:t>Current nurse (Level 1), midwife or SCPHN with at least 1 year’s post Nursing and Midwifery Council (NMC) registration clinical experience in the speciality within which they will be prescribing.</w:t>
            </w:r>
          </w:p>
          <w:p w14:paraId="4EAC6642" w14:textId="2F431820" w:rsidR="00B642FC" w:rsidRPr="005E2E71" w:rsidRDefault="00B642FC" w:rsidP="00B642FC">
            <w:pPr>
              <w:widowControl w:val="0"/>
              <w:numPr>
                <w:ilvl w:val="0"/>
                <w:numId w:val="3"/>
              </w:numPr>
              <w:tabs>
                <w:tab w:val="center" w:pos="4153"/>
                <w:tab w:val="right" w:pos="9072"/>
              </w:tabs>
              <w:rPr>
                <w:rFonts w:ascii="Arial" w:hAnsi="Arial" w:cs="Arial"/>
                <w:bCs/>
                <w:snapToGrid w:val="0"/>
                <w:sz w:val="22"/>
                <w:szCs w:val="22"/>
              </w:rPr>
            </w:pPr>
            <w:r w:rsidRPr="005E2E71">
              <w:rPr>
                <w:rFonts w:ascii="Arial" w:hAnsi="Arial" w:cs="Arial"/>
                <w:bCs/>
                <w:snapToGrid w:val="0"/>
                <w:sz w:val="22"/>
                <w:szCs w:val="22"/>
              </w:rPr>
              <w:t xml:space="preserve">Standard applicants will be required to hold an Honours degree 2(ii) or above from a UK or Republic of Ireland university. An Honours degree equivalent to a 2(ii) or above from an approved institution of higher education outside the UK and Republic of Ireland will be accepted. Advice on equivalence of overseas awards will be obtained from </w:t>
            </w:r>
            <w:r w:rsidR="003B6F9A" w:rsidRPr="005E2E71">
              <w:rPr>
                <w:rFonts w:ascii="Arial" w:hAnsi="Arial" w:cs="Arial"/>
                <w:bCs/>
                <w:snapToGrid w:val="0"/>
                <w:sz w:val="22"/>
                <w:szCs w:val="22"/>
              </w:rPr>
              <w:t>UK ENIC</w:t>
            </w:r>
          </w:p>
          <w:p w14:paraId="46DBCB84" w14:textId="77777777" w:rsidR="00B642FC" w:rsidRPr="005E2E71" w:rsidRDefault="00B642FC" w:rsidP="00B642FC">
            <w:pPr>
              <w:pStyle w:val="ListParagraph"/>
              <w:widowControl w:val="0"/>
              <w:numPr>
                <w:ilvl w:val="0"/>
                <w:numId w:val="3"/>
              </w:numPr>
              <w:tabs>
                <w:tab w:val="center" w:pos="4153"/>
                <w:tab w:val="right" w:pos="9072"/>
              </w:tabs>
              <w:rPr>
                <w:rFonts w:ascii="Arial" w:eastAsia="Times New Roman" w:hAnsi="Arial" w:cs="Arial"/>
                <w:bCs/>
                <w:snapToGrid w:val="0"/>
                <w:lang w:eastAsia="en-GB"/>
              </w:rPr>
            </w:pPr>
            <w:r w:rsidRPr="005E2E71">
              <w:rPr>
                <w:rFonts w:ascii="Arial" w:eastAsia="Times New Roman" w:hAnsi="Arial" w:cs="Arial"/>
                <w:bCs/>
                <w:snapToGrid w:val="0"/>
                <w:lang w:eastAsia="en-GB"/>
              </w:rPr>
              <w:t>Applications will be considered from non-standard applicants who can demonstrate the following certificated learning:</w:t>
            </w:r>
          </w:p>
          <w:p w14:paraId="791B631D" w14:textId="77777777" w:rsidR="00B642FC" w:rsidRPr="005E2E71" w:rsidRDefault="00B642FC" w:rsidP="00B642FC">
            <w:pPr>
              <w:pStyle w:val="ListParagraph"/>
              <w:widowControl w:val="0"/>
              <w:numPr>
                <w:ilvl w:val="1"/>
                <w:numId w:val="3"/>
              </w:numPr>
              <w:tabs>
                <w:tab w:val="center" w:pos="4153"/>
                <w:tab w:val="right" w:pos="9072"/>
              </w:tabs>
              <w:rPr>
                <w:rFonts w:ascii="Arial" w:eastAsia="Times New Roman" w:hAnsi="Arial" w:cs="Arial"/>
                <w:bCs/>
                <w:snapToGrid w:val="0"/>
                <w:lang w:eastAsia="en-GB"/>
              </w:rPr>
            </w:pPr>
            <w:r w:rsidRPr="005E2E71">
              <w:rPr>
                <w:rFonts w:ascii="Arial" w:eastAsia="Times New Roman" w:hAnsi="Arial" w:cs="Arial"/>
                <w:bCs/>
                <w:snapToGrid w:val="0"/>
                <w:lang w:eastAsia="en-GB"/>
              </w:rPr>
              <w:t xml:space="preserve">a DipHE from a UK or Republic of Ireland university or equivalent qualification from an approved institution of higher education outside the UK and Republic of Ireland </w:t>
            </w:r>
            <w:r w:rsidRPr="005E2E71">
              <w:rPr>
                <w:rFonts w:ascii="Arial" w:eastAsia="Times New Roman" w:hAnsi="Arial" w:cs="Arial"/>
                <w:bCs/>
                <w:snapToGrid w:val="0"/>
                <w:u w:val="single"/>
                <w:lang w:eastAsia="en-GB"/>
              </w:rPr>
              <w:t>and one</w:t>
            </w:r>
            <w:r w:rsidRPr="005E2E71">
              <w:rPr>
                <w:rFonts w:ascii="Arial" w:eastAsia="Times New Roman" w:hAnsi="Arial" w:cs="Arial"/>
                <w:bCs/>
                <w:snapToGrid w:val="0"/>
                <w:lang w:eastAsia="en-GB"/>
              </w:rPr>
              <w:t xml:space="preserve"> of the following completed within the last five years:</w:t>
            </w:r>
          </w:p>
          <w:p w14:paraId="2AB63969" w14:textId="2D995DBA" w:rsidR="00B642FC" w:rsidRPr="005E2E71" w:rsidRDefault="00B642FC" w:rsidP="00B642FC">
            <w:pPr>
              <w:widowControl w:val="0"/>
              <w:tabs>
                <w:tab w:val="center" w:pos="4153"/>
                <w:tab w:val="right" w:pos="9072"/>
              </w:tabs>
              <w:ind w:left="1080"/>
              <w:rPr>
                <w:rFonts w:ascii="Arial" w:hAnsi="Arial" w:cs="Arial"/>
                <w:bCs/>
                <w:snapToGrid w:val="0"/>
                <w:sz w:val="22"/>
                <w:szCs w:val="22"/>
              </w:rPr>
            </w:pPr>
            <w:r w:rsidRPr="005E2E71">
              <w:rPr>
                <w:rFonts w:ascii="Arial" w:hAnsi="Arial" w:cs="Arial"/>
                <w:bCs/>
                <w:snapToGrid w:val="0"/>
                <w:sz w:val="22"/>
                <w:szCs w:val="22"/>
              </w:rPr>
              <w:t xml:space="preserve">- Successful completion of a standalone  </w:t>
            </w:r>
            <w:r w:rsidRPr="005E2E71">
              <w:rPr>
                <w:rFonts w:ascii="Arial" w:hAnsi="Arial" w:cs="Arial"/>
                <w:bCs/>
                <w:snapToGrid w:val="0"/>
                <w:sz w:val="22"/>
                <w:szCs w:val="22"/>
              </w:rPr>
              <w:br/>
              <w:t xml:space="preserve">   module at </w:t>
            </w:r>
            <w:proofErr w:type="gramStart"/>
            <w:r w:rsidRPr="005E2E71">
              <w:rPr>
                <w:rFonts w:ascii="Arial" w:hAnsi="Arial" w:cs="Arial"/>
                <w:bCs/>
                <w:snapToGrid w:val="0"/>
                <w:sz w:val="22"/>
                <w:szCs w:val="22"/>
              </w:rPr>
              <w:t>Masters</w:t>
            </w:r>
            <w:proofErr w:type="gramEnd"/>
            <w:r w:rsidRPr="005E2E71">
              <w:rPr>
                <w:rFonts w:ascii="Arial" w:hAnsi="Arial" w:cs="Arial"/>
                <w:bCs/>
                <w:snapToGrid w:val="0"/>
                <w:sz w:val="22"/>
                <w:szCs w:val="22"/>
              </w:rPr>
              <w:t xml:space="preserve"> Level (Level 7)</w:t>
            </w:r>
          </w:p>
          <w:p w14:paraId="6DE52D45" w14:textId="485A0A34" w:rsidR="00B642FC" w:rsidRPr="005E2E71" w:rsidRDefault="00B642FC" w:rsidP="00B642FC">
            <w:pPr>
              <w:ind w:left="720"/>
              <w:rPr>
                <w:rFonts w:ascii="Arial" w:eastAsia="Arial" w:hAnsi="Arial" w:cs="Arial"/>
                <w:color w:val="000000" w:themeColor="text1"/>
                <w:sz w:val="22"/>
                <w:szCs w:val="22"/>
              </w:rPr>
            </w:pPr>
            <w:r w:rsidRPr="005E2E71">
              <w:rPr>
                <w:rFonts w:ascii="Arial" w:hAnsi="Arial" w:cs="Arial"/>
                <w:bCs/>
                <w:snapToGrid w:val="0"/>
                <w:sz w:val="22"/>
                <w:szCs w:val="22"/>
              </w:rPr>
              <w:t xml:space="preserve">      - A minimum of 30 credits from standalone </w:t>
            </w:r>
            <w:r w:rsidRPr="005E2E71">
              <w:rPr>
                <w:rFonts w:ascii="Arial" w:hAnsi="Arial" w:cs="Arial"/>
                <w:bCs/>
                <w:snapToGrid w:val="0"/>
                <w:sz w:val="22"/>
                <w:szCs w:val="22"/>
              </w:rPr>
              <w:br/>
              <w:t xml:space="preserve">        modules at level 6, at or above grade B </w:t>
            </w:r>
            <w:r w:rsidRPr="005E2E71">
              <w:rPr>
                <w:rFonts w:ascii="Arial" w:hAnsi="Arial" w:cs="Arial"/>
                <w:bCs/>
                <w:snapToGrid w:val="0"/>
                <w:sz w:val="22"/>
                <w:szCs w:val="22"/>
              </w:rPr>
              <w:br/>
              <w:t xml:space="preserve">     </w:t>
            </w:r>
            <w:proofErr w:type="gramStart"/>
            <w:r w:rsidRPr="005E2E71">
              <w:rPr>
                <w:rFonts w:ascii="Arial" w:hAnsi="Arial" w:cs="Arial"/>
                <w:bCs/>
                <w:snapToGrid w:val="0"/>
                <w:sz w:val="22"/>
                <w:szCs w:val="22"/>
              </w:rPr>
              <w:t xml:space="preserve">   (</w:t>
            </w:r>
            <w:proofErr w:type="gramEnd"/>
            <w:r w:rsidRPr="005E2E71">
              <w:rPr>
                <w:rFonts w:ascii="Arial" w:hAnsi="Arial" w:cs="Arial"/>
                <w:bCs/>
                <w:snapToGrid w:val="0"/>
                <w:sz w:val="22"/>
                <w:szCs w:val="22"/>
              </w:rPr>
              <w:t>60%).</w:t>
            </w:r>
          </w:p>
          <w:p w14:paraId="2A26CF26" w14:textId="77777777" w:rsidR="00D83ECA" w:rsidRPr="005E2E71" w:rsidRDefault="00D83ECA" w:rsidP="00D83ECA">
            <w:pPr>
              <w:numPr>
                <w:ilvl w:val="0"/>
                <w:numId w:val="3"/>
              </w:numPr>
              <w:rPr>
                <w:rFonts w:ascii="Arial" w:hAnsi="Arial" w:cs="Arial"/>
                <w:sz w:val="22"/>
                <w:szCs w:val="22"/>
              </w:rPr>
            </w:pPr>
            <w:bookmarkStart w:id="0" w:name="_Hlk88392510"/>
            <w:r w:rsidRPr="005E2E71">
              <w:rPr>
                <w:rFonts w:ascii="Arial" w:hAnsi="Arial" w:cs="Arial"/>
                <w:sz w:val="22"/>
                <w:szCs w:val="22"/>
              </w:rPr>
              <w:t>Written confirmation of support to undertake the module from the applicant’s Prescribing Lead or Employer within their organisation, who must confirm all placement areas have a current and satisfactory educational audit.</w:t>
            </w:r>
          </w:p>
          <w:p w14:paraId="2DE5B92D" w14:textId="77777777" w:rsidR="00D83ECA" w:rsidRPr="005E2E71" w:rsidRDefault="00D83ECA" w:rsidP="00D83ECA">
            <w:pPr>
              <w:numPr>
                <w:ilvl w:val="0"/>
                <w:numId w:val="3"/>
              </w:numPr>
              <w:rPr>
                <w:rFonts w:ascii="Arial" w:hAnsi="Arial" w:cs="Arial"/>
                <w:sz w:val="22"/>
                <w:szCs w:val="22"/>
              </w:rPr>
            </w:pPr>
            <w:r w:rsidRPr="005E2E71">
              <w:rPr>
                <w:rFonts w:ascii="Arial" w:hAnsi="Arial" w:cs="Arial"/>
                <w:sz w:val="22"/>
                <w:szCs w:val="22"/>
              </w:rPr>
              <w:lastRenderedPageBreak/>
              <w:t>Written confirmation of agreement to provide support from an identified Practice Assessor, who should:</w:t>
            </w:r>
          </w:p>
          <w:p w14:paraId="60FDBB0D" w14:textId="77777777" w:rsidR="00D83ECA" w:rsidRPr="005E2E71" w:rsidRDefault="00D83ECA" w:rsidP="00D83ECA">
            <w:pPr>
              <w:numPr>
                <w:ilvl w:val="1"/>
                <w:numId w:val="3"/>
              </w:numPr>
              <w:rPr>
                <w:rFonts w:ascii="Arial" w:hAnsi="Arial" w:cs="Arial"/>
                <w:sz w:val="22"/>
                <w:szCs w:val="22"/>
              </w:rPr>
            </w:pPr>
            <w:r w:rsidRPr="005E2E71">
              <w:rPr>
                <w:rFonts w:ascii="Arial" w:hAnsi="Arial" w:cs="Arial"/>
                <w:sz w:val="22"/>
                <w:szCs w:val="22"/>
              </w:rPr>
              <w:t xml:space="preserve">be an experienced, active prescriber, </w:t>
            </w:r>
          </w:p>
          <w:p w14:paraId="00FDDB69" w14:textId="77777777" w:rsidR="00D83ECA" w:rsidRPr="005E2E71" w:rsidRDefault="00D83ECA" w:rsidP="00D83ECA">
            <w:pPr>
              <w:numPr>
                <w:ilvl w:val="1"/>
                <w:numId w:val="3"/>
              </w:numPr>
              <w:rPr>
                <w:rFonts w:ascii="Arial" w:hAnsi="Arial" w:cs="Arial"/>
                <w:sz w:val="22"/>
                <w:szCs w:val="22"/>
              </w:rPr>
            </w:pPr>
            <w:r w:rsidRPr="005E2E71">
              <w:rPr>
                <w:rFonts w:ascii="Arial" w:hAnsi="Arial" w:cs="Arial"/>
                <w:sz w:val="22"/>
                <w:szCs w:val="22"/>
              </w:rPr>
              <w:t>normally have at least 3 years’ recent prescribing experience,</w:t>
            </w:r>
          </w:p>
          <w:p w14:paraId="25D6FE06" w14:textId="77777777" w:rsidR="00D83ECA" w:rsidRPr="005E2E71" w:rsidRDefault="00D83ECA" w:rsidP="00D83ECA">
            <w:pPr>
              <w:numPr>
                <w:ilvl w:val="1"/>
                <w:numId w:val="3"/>
              </w:numPr>
              <w:rPr>
                <w:rFonts w:ascii="Arial" w:hAnsi="Arial" w:cs="Arial"/>
                <w:sz w:val="22"/>
                <w:szCs w:val="22"/>
              </w:rPr>
            </w:pPr>
            <w:r w:rsidRPr="005E2E71">
              <w:rPr>
                <w:rFonts w:ascii="Arial" w:hAnsi="Arial" w:cs="Arial"/>
                <w:sz w:val="22"/>
                <w:szCs w:val="22"/>
              </w:rPr>
              <w:t xml:space="preserve">hold suitable equivalent qualifications for the module undertaken, </w:t>
            </w:r>
          </w:p>
          <w:p w14:paraId="43DBEC78" w14:textId="0EB08288" w:rsidR="00D83ECA" w:rsidRPr="005E2E71" w:rsidRDefault="00D83ECA" w:rsidP="00D83ECA">
            <w:pPr>
              <w:numPr>
                <w:ilvl w:val="1"/>
                <w:numId w:val="3"/>
              </w:numPr>
              <w:rPr>
                <w:rFonts w:ascii="Arial" w:hAnsi="Arial" w:cs="Arial"/>
                <w:sz w:val="22"/>
                <w:szCs w:val="22"/>
              </w:rPr>
            </w:pPr>
            <w:r w:rsidRPr="005E2E71">
              <w:rPr>
                <w:rFonts w:ascii="Arial" w:hAnsi="Arial" w:cs="Arial"/>
                <w:sz w:val="22"/>
                <w:szCs w:val="22"/>
              </w:rPr>
              <w:t>meet criteria in the NMC’s (2018</w:t>
            </w:r>
            <w:r w:rsidR="000B3320" w:rsidRPr="005E2E71">
              <w:rPr>
                <w:rFonts w:ascii="Arial" w:hAnsi="Arial" w:cs="Arial"/>
                <w:sz w:val="22"/>
                <w:szCs w:val="22"/>
              </w:rPr>
              <w:t>a</w:t>
            </w:r>
            <w:r w:rsidRPr="005E2E71">
              <w:rPr>
                <w:rFonts w:ascii="Arial" w:hAnsi="Arial" w:cs="Arial"/>
                <w:sz w:val="22"/>
                <w:szCs w:val="22"/>
              </w:rPr>
              <w:t xml:space="preserve">) </w:t>
            </w:r>
            <w:r w:rsidRPr="005E2E71">
              <w:rPr>
                <w:rFonts w:ascii="Arial" w:hAnsi="Arial" w:cs="Arial"/>
                <w:i/>
                <w:sz w:val="22"/>
                <w:szCs w:val="22"/>
              </w:rPr>
              <w:t>Standards for student supervision and assessment,</w:t>
            </w:r>
            <w:r w:rsidRPr="005E2E71">
              <w:rPr>
                <w:rFonts w:ascii="Arial" w:hAnsi="Arial" w:cs="Arial"/>
                <w:sz w:val="22"/>
                <w:szCs w:val="22"/>
              </w:rPr>
              <w:t xml:space="preserve"> the NMC’s (2018</w:t>
            </w:r>
            <w:r w:rsidR="000B3320" w:rsidRPr="005E2E71">
              <w:rPr>
                <w:rFonts w:ascii="Arial" w:hAnsi="Arial" w:cs="Arial"/>
                <w:sz w:val="22"/>
                <w:szCs w:val="22"/>
              </w:rPr>
              <w:t>b</w:t>
            </w:r>
            <w:r w:rsidRPr="005E2E71">
              <w:rPr>
                <w:rFonts w:ascii="Arial" w:hAnsi="Arial" w:cs="Arial"/>
                <w:sz w:val="22"/>
                <w:szCs w:val="22"/>
              </w:rPr>
              <w:t xml:space="preserve">) </w:t>
            </w:r>
            <w:r w:rsidRPr="005E2E71">
              <w:rPr>
                <w:rFonts w:ascii="Arial" w:hAnsi="Arial" w:cs="Arial"/>
                <w:i/>
                <w:sz w:val="22"/>
                <w:szCs w:val="22"/>
              </w:rPr>
              <w:t xml:space="preserve">Standards for prescribing programmes </w:t>
            </w:r>
            <w:r w:rsidRPr="005E2E71">
              <w:rPr>
                <w:rFonts w:ascii="Arial" w:hAnsi="Arial" w:cs="Arial"/>
                <w:iCs/>
                <w:sz w:val="22"/>
                <w:szCs w:val="22"/>
              </w:rPr>
              <w:t xml:space="preserve">and the Royal Pharmaceutical Society’s (RPS) (2019) </w:t>
            </w:r>
            <w:r w:rsidRPr="005E2E71">
              <w:rPr>
                <w:rFonts w:ascii="Arial" w:hAnsi="Arial" w:cs="Arial"/>
                <w:i/>
                <w:sz w:val="22"/>
                <w:szCs w:val="22"/>
              </w:rPr>
              <w:t>Competency framework for designated prescribing practitioners.</w:t>
            </w:r>
            <w:r w:rsidRPr="005E2E71">
              <w:rPr>
                <w:rFonts w:ascii="Arial" w:hAnsi="Arial" w:cs="Arial"/>
                <w:iCs/>
                <w:sz w:val="22"/>
                <w:szCs w:val="22"/>
              </w:rPr>
              <w:t xml:space="preserve"> </w:t>
            </w:r>
          </w:p>
          <w:bookmarkEnd w:id="0"/>
          <w:p w14:paraId="17ED8813" w14:textId="43A7FD25" w:rsidR="00C447A7" w:rsidRPr="005E2E71" w:rsidRDefault="00D83ECA" w:rsidP="00D83ECA">
            <w:pPr>
              <w:numPr>
                <w:ilvl w:val="0"/>
                <w:numId w:val="3"/>
              </w:numPr>
              <w:rPr>
                <w:rFonts w:ascii="Arial" w:hAnsi="Arial" w:cs="Arial"/>
                <w:sz w:val="22"/>
                <w:szCs w:val="22"/>
              </w:rPr>
            </w:pPr>
            <w:r w:rsidRPr="005E2E71">
              <w:rPr>
                <w:rFonts w:ascii="Arial" w:hAnsi="Arial" w:cs="Arial"/>
                <w:sz w:val="22"/>
                <w:szCs w:val="22"/>
              </w:rPr>
              <w:t xml:space="preserve">Self-employed applicants must have an honorary contract in place and agreement of support from a suitably qualified Practice Assessor and the Prescribing Lead or Employer within that organisation, at the point of application.  </w:t>
            </w:r>
          </w:p>
          <w:p w14:paraId="1EA74657" w14:textId="14FD0CB9" w:rsidR="00771ACB" w:rsidRPr="005E2E71" w:rsidRDefault="00771ACB" w:rsidP="00D83ECA">
            <w:pPr>
              <w:numPr>
                <w:ilvl w:val="0"/>
                <w:numId w:val="3"/>
              </w:numPr>
              <w:rPr>
                <w:rFonts w:ascii="Arial" w:hAnsi="Arial" w:cs="Arial"/>
                <w:sz w:val="22"/>
                <w:szCs w:val="22"/>
              </w:rPr>
            </w:pPr>
            <w:r w:rsidRPr="005E2E71">
              <w:rPr>
                <w:rFonts w:ascii="Arial" w:hAnsi="Arial" w:cs="Arial"/>
                <w:sz w:val="22"/>
                <w:szCs w:val="22"/>
              </w:rPr>
              <w:t xml:space="preserve">Applicants may claim </w:t>
            </w:r>
            <w:r w:rsidR="008C44B5" w:rsidRPr="005E2E71">
              <w:rPr>
                <w:rFonts w:ascii="Arial" w:hAnsi="Arial" w:cs="Arial"/>
                <w:sz w:val="22"/>
                <w:szCs w:val="22"/>
              </w:rPr>
              <w:t xml:space="preserve">30 credits </w:t>
            </w:r>
            <w:r w:rsidRPr="005E2E71">
              <w:rPr>
                <w:rFonts w:ascii="Arial" w:hAnsi="Arial" w:cs="Arial"/>
                <w:sz w:val="22"/>
                <w:szCs w:val="22"/>
              </w:rPr>
              <w:t xml:space="preserve">Recognition of Prior learning (RPL) </w:t>
            </w:r>
            <w:r w:rsidR="00C1132C" w:rsidRPr="005E2E71">
              <w:rPr>
                <w:rFonts w:ascii="Arial" w:hAnsi="Arial" w:cs="Arial"/>
                <w:sz w:val="22"/>
                <w:szCs w:val="22"/>
              </w:rPr>
              <w:t xml:space="preserve">and exemption from the Advanced clinical reasoning in health assessment: lifespan perspectives module, where they can </w:t>
            </w:r>
            <w:proofErr w:type="gramStart"/>
            <w:r w:rsidR="00C1132C" w:rsidRPr="005E2E71">
              <w:rPr>
                <w:rFonts w:ascii="Arial" w:hAnsi="Arial" w:cs="Arial"/>
                <w:sz w:val="22"/>
                <w:szCs w:val="22"/>
              </w:rPr>
              <w:t>evidence  achievement</w:t>
            </w:r>
            <w:proofErr w:type="gramEnd"/>
            <w:r w:rsidR="00C1132C" w:rsidRPr="005E2E71">
              <w:rPr>
                <w:rFonts w:ascii="Arial" w:hAnsi="Arial" w:cs="Arial"/>
                <w:sz w:val="22"/>
                <w:szCs w:val="22"/>
              </w:rPr>
              <w:t xml:space="preserve"> of equivalent level 7 certificated learning from another Higher Education Institution, obtained within the last 5 years.  </w:t>
            </w:r>
          </w:p>
          <w:p w14:paraId="4B08F2A9" w14:textId="17036010" w:rsidR="00DB05E5" w:rsidRPr="005E2E71" w:rsidRDefault="00DB05E5" w:rsidP="00C1132C">
            <w:pPr>
              <w:rPr>
                <w:rFonts w:ascii="Arial" w:hAnsi="Arial" w:cs="Arial"/>
                <w:sz w:val="22"/>
                <w:szCs w:val="22"/>
              </w:rPr>
            </w:pPr>
          </w:p>
        </w:tc>
      </w:tr>
      <w:tr w:rsidR="00A92C9B" w:rsidRPr="005E2E71" w14:paraId="2D5500BF" w14:textId="77777777" w:rsidTr="00B642FC">
        <w:tc>
          <w:tcPr>
            <w:tcW w:w="2830" w:type="dxa"/>
          </w:tcPr>
          <w:p w14:paraId="348053E9" w14:textId="77777777" w:rsidR="00A92C9B" w:rsidRPr="005E2E71" w:rsidRDefault="00A92C9B" w:rsidP="00AD72D1">
            <w:pPr>
              <w:rPr>
                <w:rFonts w:ascii="Arial" w:hAnsi="Arial" w:cs="Arial"/>
                <w:b/>
                <w:sz w:val="22"/>
                <w:szCs w:val="22"/>
              </w:rPr>
            </w:pPr>
            <w:r w:rsidRPr="005E2E71">
              <w:rPr>
                <w:rFonts w:ascii="Arial" w:hAnsi="Arial" w:cs="Arial"/>
                <w:b/>
                <w:sz w:val="22"/>
                <w:szCs w:val="22"/>
              </w:rPr>
              <w:lastRenderedPageBreak/>
              <w:t>Programme Accredited by:</w:t>
            </w:r>
          </w:p>
          <w:p w14:paraId="3A1FE4F7" w14:textId="77777777" w:rsidR="00A92C9B" w:rsidRPr="005E2E71" w:rsidRDefault="00A92C9B" w:rsidP="00AD72D1">
            <w:pPr>
              <w:rPr>
                <w:rFonts w:ascii="Arial" w:hAnsi="Arial" w:cs="Arial"/>
                <w:b/>
                <w:sz w:val="22"/>
                <w:szCs w:val="22"/>
              </w:rPr>
            </w:pPr>
          </w:p>
        </w:tc>
        <w:tc>
          <w:tcPr>
            <w:tcW w:w="6186" w:type="dxa"/>
          </w:tcPr>
          <w:p w14:paraId="749FB0F8" w14:textId="7376B1E1" w:rsidR="00A92C9B" w:rsidRPr="005E2E71" w:rsidRDefault="00CF31F5" w:rsidP="00AD72D1">
            <w:pPr>
              <w:rPr>
                <w:rFonts w:ascii="Arial" w:hAnsi="Arial" w:cs="Arial"/>
                <w:iCs/>
                <w:sz w:val="22"/>
                <w:szCs w:val="22"/>
              </w:rPr>
            </w:pPr>
            <w:r w:rsidRPr="005E2E71">
              <w:rPr>
                <w:rFonts w:ascii="Arial" w:hAnsi="Arial" w:cs="Arial"/>
                <w:iCs/>
                <w:sz w:val="22"/>
                <w:szCs w:val="22"/>
              </w:rPr>
              <w:t>Nursing and Midwifery Council</w:t>
            </w:r>
          </w:p>
        </w:tc>
      </w:tr>
      <w:tr w:rsidR="00A92C9B" w:rsidRPr="005E2E71" w14:paraId="1D2A8CE1" w14:textId="77777777" w:rsidTr="00B642FC">
        <w:tc>
          <w:tcPr>
            <w:tcW w:w="2830" w:type="dxa"/>
          </w:tcPr>
          <w:p w14:paraId="310A7388" w14:textId="77777777" w:rsidR="00A92C9B" w:rsidRPr="005E2E71" w:rsidRDefault="00A92C9B" w:rsidP="00AD72D1">
            <w:pPr>
              <w:rPr>
                <w:rFonts w:ascii="Arial" w:hAnsi="Arial" w:cs="Arial"/>
                <w:b/>
                <w:sz w:val="22"/>
                <w:szCs w:val="22"/>
              </w:rPr>
            </w:pPr>
            <w:r w:rsidRPr="005E2E71">
              <w:rPr>
                <w:rFonts w:ascii="Arial" w:hAnsi="Arial" w:cs="Arial"/>
                <w:b/>
                <w:sz w:val="22"/>
                <w:szCs w:val="22"/>
              </w:rPr>
              <w:t>QAA Subject Benchmark Statements:</w:t>
            </w:r>
          </w:p>
          <w:p w14:paraId="78FF0191" w14:textId="77777777" w:rsidR="00A92C9B" w:rsidRPr="005E2E71" w:rsidRDefault="00A92C9B" w:rsidP="00AD72D1">
            <w:pPr>
              <w:rPr>
                <w:rFonts w:ascii="Arial" w:hAnsi="Arial" w:cs="Arial"/>
                <w:b/>
                <w:sz w:val="22"/>
                <w:szCs w:val="22"/>
              </w:rPr>
            </w:pPr>
          </w:p>
        </w:tc>
        <w:tc>
          <w:tcPr>
            <w:tcW w:w="6186" w:type="dxa"/>
          </w:tcPr>
          <w:p w14:paraId="223D1A66" w14:textId="18476AA0" w:rsidR="00A92C9B" w:rsidRPr="005E2E71" w:rsidRDefault="00CF31F5" w:rsidP="00CF31F5">
            <w:pPr>
              <w:rPr>
                <w:rFonts w:ascii="Arial" w:hAnsi="Arial" w:cs="Arial"/>
                <w:iCs/>
                <w:sz w:val="22"/>
                <w:szCs w:val="22"/>
              </w:rPr>
            </w:pPr>
            <w:r w:rsidRPr="005E2E71">
              <w:rPr>
                <w:rFonts w:ascii="Arial" w:hAnsi="Arial" w:cs="Arial"/>
                <w:iCs/>
                <w:sz w:val="22"/>
                <w:szCs w:val="22"/>
              </w:rPr>
              <w:t>None</w:t>
            </w:r>
          </w:p>
        </w:tc>
      </w:tr>
      <w:tr w:rsidR="00A92C9B" w:rsidRPr="005E2E71" w14:paraId="53E5FC2C" w14:textId="77777777" w:rsidTr="00B642FC">
        <w:tc>
          <w:tcPr>
            <w:tcW w:w="2830" w:type="dxa"/>
          </w:tcPr>
          <w:p w14:paraId="046B54B4" w14:textId="77777777" w:rsidR="00A92C9B" w:rsidRPr="005E2E71" w:rsidRDefault="00A92C9B" w:rsidP="00AD72D1">
            <w:pPr>
              <w:rPr>
                <w:rFonts w:ascii="Arial" w:hAnsi="Arial" w:cs="Arial"/>
                <w:b/>
                <w:sz w:val="22"/>
                <w:szCs w:val="22"/>
              </w:rPr>
            </w:pPr>
            <w:r w:rsidRPr="005E2E71">
              <w:rPr>
                <w:rFonts w:ascii="Arial" w:hAnsi="Arial" w:cs="Arial"/>
                <w:b/>
                <w:sz w:val="22"/>
                <w:szCs w:val="22"/>
              </w:rPr>
              <w:t>Approved Variants:</w:t>
            </w:r>
          </w:p>
        </w:tc>
        <w:tc>
          <w:tcPr>
            <w:tcW w:w="6186" w:type="dxa"/>
          </w:tcPr>
          <w:p w14:paraId="249D4360" w14:textId="77777777" w:rsidR="00A92C9B" w:rsidRPr="005E2E71" w:rsidRDefault="00A92C9B" w:rsidP="00AD72D1">
            <w:pPr>
              <w:rPr>
                <w:rFonts w:ascii="Arial" w:hAnsi="Arial" w:cs="Arial"/>
                <w:i/>
                <w:color w:val="FF0000"/>
                <w:sz w:val="22"/>
                <w:szCs w:val="22"/>
              </w:rPr>
            </w:pPr>
          </w:p>
          <w:p w14:paraId="402E8661" w14:textId="77777777" w:rsidR="00A92C9B" w:rsidRPr="005E2E71" w:rsidRDefault="00A92C9B" w:rsidP="00AD72D1">
            <w:pPr>
              <w:rPr>
                <w:rFonts w:ascii="Arial" w:hAnsi="Arial" w:cs="Arial"/>
                <w:i/>
                <w:color w:val="FF0000"/>
                <w:sz w:val="22"/>
                <w:szCs w:val="22"/>
              </w:rPr>
            </w:pPr>
          </w:p>
        </w:tc>
      </w:tr>
      <w:tr w:rsidR="00A92C9B" w:rsidRPr="005E2E71" w14:paraId="033C9415" w14:textId="77777777" w:rsidTr="00B642FC">
        <w:tc>
          <w:tcPr>
            <w:tcW w:w="2830" w:type="dxa"/>
          </w:tcPr>
          <w:p w14:paraId="39080205" w14:textId="77777777" w:rsidR="00A92C9B" w:rsidRPr="005E2E71" w:rsidRDefault="00A92C9B" w:rsidP="00AD72D1">
            <w:pPr>
              <w:rPr>
                <w:rFonts w:ascii="Arial" w:hAnsi="Arial" w:cs="Arial"/>
                <w:b/>
                <w:sz w:val="22"/>
                <w:szCs w:val="22"/>
              </w:rPr>
            </w:pPr>
            <w:r w:rsidRPr="005E2E71">
              <w:rPr>
                <w:rFonts w:ascii="Arial" w:hAnsi="Arial" w:cs="Arial"/>
                <w:b/>
                <w:sz w:val="22"/>
                <w:szCs w:val="22"/>
              </w:rPr>
              <w:t>UCAS Code:</w:t>
            </w:r>
          </w:p>
          <w:p w14:paraId="03425216" w14:textId="77777777" w:rsidR="00A92C9B" w:rsidRPr="005E2E71" w:rsidRDefault="00A92C9B" w:rsidP="00AD72D1">
            <w:pPr>
              <w:rPr>
                <w:rFonts w:ascii="Arial" w:hAnsi="Arial" w:cs="Arial"/>
                <w:b/>
                <w:sz w:val="22"/>
                <w:szCs w:val="22"/>
              </w:rPr>
            </w:pPr>
          </w:p>
        </w:tc>
        <w:tc>
          <w:tcPr>
            <w:tcW w:w="6186" w:type="dxa"/>
          </w:tcPr>
          <w:p w14:paraId="2253C86C" w14:textId="129D686A" w:rsidR="00A92C9B" w:rsidRPr="005E2E71" w:rsidRDefault="008D5A55" w:rsidP="00AD72D1">
            <w:pPr>
              <w:rPr>
                <w:rFonts w:ascii="Arial" w:hAnsi="Arial" w:cs="Arial"/>
                <w:iCs/>
                <w:color w:val="FF0000"/>
                <w:sz w:val="22"/>
                <w:szCs w:val="22"/>
              </w:rPr>
            </w:pPr>
            <w:r w:rsidRPr="005E2E71">
              <w:rPr>
                <w:rFonts w:ascii="Arial" w:hAnsi="Arial" w:cs="Arial"/>
                <w:iCs/>
                <w:sz w:val="22"/>
                <w:szCs w:val="22"/>
              </w:rPr>
              <w:t>None</w:t>
            </w:r>
          </w:p>
        </w:tc>
      </w:tr>
    </w:tbl>
    <w:p w14:paraId="505F05A6" w14:textId="77777777" w:rsidR="00A92C9B" w:rsidRPr="005E2E71" w:rsidRDefault="00A92C9B" w:rsidP="00A92C9B">
      <w:pPr>
        <w:rPr>
          <w:rFonts w:ascii="Arial" w:hAnsi="Arial" w:cs="Arial"/>
          <w:b/>
        </w:rPr>
      </w:pPr>
    </w:p>
    <w:p w14:paraId="68688226" w14:textId="77777777" w:rsidR="00A92C9B" w:rsidRPr="005E2E71" w:rsidRDefault="00A92C9B" w:rsidP="00A92C9B">
      <w:pPr>
        <w:rPr>
          <w:rFonts w:ascii="Arial" w:hAnsi="Arial" w:cs="Arial"/>
          <w:b/>
          <w:sz w:val="22"/>
          <w:szCs w:val="22"/>
        </w:rPr>
      </w:pPr>
      <w:r w:rsidRPr="005E2E71">
        <w:rPr>
          <w:rFonts w:ascii="Arial" w:hAnsi="Arial" w:cs="Arial"/>
          <w:b/>
          <w:sz w:val="22"/>
          <w:szCs w:val="22"/>
        </w:rPr>
        <w:t>SECTION 2: THE COURSE</w:t>
      </w:r>
    </w:p>
    <w:p w14:paraId="0C55EBA3" w14:textId="4BABE575" w:rsidR="00A92C9B" w:rsidRPr="005E2E71" w:rsidRDefault="00A92C9B" w:rsidP="00A92C9B">
      <w:pPr>
        <w:rPr>
          <w:rFonts w:ascii="Arial" w:hAnsi="Arial" w:cs="Arial"/>
          <w:b/>
          <w:sz w:val="22"/>
          <w:szCs w:val="22"/>
        </w:rPr>
      </w:pPr>
    </w:p>
    <w:p w14:paraId="15601069" w14:textId="09ABDD6B" w:rsidR="00592EFC" w:rsidRPr="005E2E71" w:rsidRDefault="00592EFC" w:rsidP="00592EFC">
      <w:pPr>
        <w:spacing w:after="200" w:line="276" w:lineRule="auto"/>
        <w:rPr>
          <w:rFonts w:ascii="Arial" w:hAnsi="Arial" w:cs="Arial"/>
          <w:spacing w:val="-5"/>
          <w:sz w:val="22"/>
          <w:szCs w:val="22"/>
          <w:lang w:eastAsia="en-US"/>
        </w:rPr>
      </w:pPr>
      <w:r w:rsidRPr="005E2E71">
        <w:rPr>
          <w:rFonts w:ascii="Arial" w:hAnsi="Arial" w:cs="Arial"/>
          <w:spacing w:val="-5"/>
          <w:sz w:val="22"/>
          <w:szCs w:val="22"/>
          <w:lang w:eastAsia="en-US"/>
        </w:rPr>
        <w:t>The PG Cert Independent/ Supplementary Prescribing for Nurses and Midwives comprises of the following two 30 credit, level 7 modules:</w:t>
      </w:r>
    </w:p>
    <w:p w14:paraId="216245D7" w14:textId="27BD780E" w:rsidR="00592EFC" w:rsidRPr="005E2E71" w:rsidRDefault="00592EFC" w:rsidP="00592EFC">
      <w:pPr>
        <w:pStyle w:val="ListParagraph"/>
        <w:numPr>
          <w:ilvl w:val="0"/>
          <w:numId w:val="10"/>
        </w:numPr>
        <w:spacing w:after="200" w:line="276" w:lineRule="auto"/>
        <w:rPr>
          <w:rFonts w:ascii="Arial" w:hAnsi="Arial" w:cs="Arial"/>
          <w:spacing w:val="-5"/>
        </w:rPr>
      </w:pPr>
      <w:r w:rsidRPr="005E2E71">
        <w:rPr>
          <w:rFonts w:ascii="Arial" w:hAnsi="Arial" w:cs="Arial"/>
          <w:spacing w:val="-5"/>
        </w:rPr>
        <w:t xml:space="preserve">Advanced clinical reasoning in health assessment: lifespan perspectives </w:t>
      </w:r>
    </w:p>
    <w:p w14:paraId="6604F0A0" w14:textId="3E19C00F" w:rsidR="00592EFC" w:rsidRPr="005E2E71" w:rsidRDefault="00592EFC" w:rsidP="000F7786">
      <w:pPr>
        <w:pStyle w:val="ListParagraph"/>
        <w:numPr>
          <w:ilvl w:val="0"/>
          <w:numId w:val="10"/>
        </w:numPr>
        <w:spacing w:after="200" w:line="276" w:lineRule="auto"/>
        <w:rPr>
          <w:rFonts w:ascii="Arial" w:hAnsi="Arial" w:cs="Arial"/>
          <w:spacing w:val="-5"/>
        </w:rPr>
      </w:pPr>
      <w:r w:rsidRPr="005E2E71">
        <w:rPr>
          <w:rFonts w:ascii="Arial" w:hAnsi="Arial" w:cs="Arial"/>
          <w:spacing w:val="-5"/>
        </w:rPr>
        <w:t>Independent/ Supplementary prescribing for nurses and midwives (V300)</w:t>
      </w:r>
    </w:p>
    <w:p w14:paraId="2D24574E" w14:textId="7CE9C8BA" w:rsidR="000F7786" w:rsidRPr="005E2E71" w:rsidRDefault="000F7786" w:rsidP="000F7786">
      <w:pPr>
        <w:spacing w:after="200" w:line="276" w:lineRule="auto"/>
        <w:rPr>
          <w:rFonts w:ascii="Arial" w:hAnsi="Arial" w:cs="Arial"/>
          <w:spacing w:val="-5"/>
          <w:sz w:val="22"/>
          <w:szCs w:val="22"/>
          <w:lang w:eastAsia="en-US"/>
        </w:rPr>
      </w:pPr>
      <w:r w:rsidRPr="005E2E71">
        <w:rPr>
          <w:rFonts w:ascii="Arial" w:hAnsi="Arial" w:cs="Arial"/>
          <w:spacing w:val="-5"/>
          <w:sz w:val="22"/>
          <w:szCs w:val="22"/>
          <w:lang w:eastAsia="en-US"/>
        </w:rPr>
        <w:t xml:space="preserve">The course is suitable for NMC registrants from all fields of nursing practice (adult, mental health, learning disabilities and children’s nursing), midwifery and specialist community public health nursing (SCPHN). It </w:t>
      </w:r>
      <w:r w:rsidR="00AC3209" w:rsidRPr="005E2E71">
        <w:rPr>
          <w:rFonts w:ascii="Arial" w:hAnsi="Arial" w:cs="Arial"/>
          <w:spacing w:val="-5"/>
          <w:sz w:val="22"/>
          <w:szCs w:val="22"/>
          <w:lang w:eastAsia="en-US"/>
        </w:rPr>
        <w:t xml:space="preserve">develops and </w:t>
      </w:r>
      <w:r w:rsidRPr="005E2E71">
        <w:rPr>
          <w:rFonts w:ascii="Arial" w:hAnsi="Arial" w:cs="Arial"/>
          <w:spacing w:val="-5"/>
          <w:sz w:val="22"/>
          <w:szCs w:val="22"/>
          <w:lang w:eastAsia="en-US"/>
        </w:rPr>
        <w:t xml:space="preserve">builds on physical assessment and clinical reasoning skills, to </w:t>
      </w:r>
      <w:r w:rsidR="00AC3209" w:rsidRPr="005E2E71">
        <w:rPr>
          <w:rFonts w:ascii="Arial" w:hAnsi="Arial" w:cs="Arial"/>
          <w:spacing w:val="-5"/>
          <w:sz w:val="22"/>
          <w:szCs w:val="22"/>
          <w:lang w:eastAsia="en-US"/>
        </w:rPr>
        <w:t>advance</w:t>
      </w:r>
      <w:r w:rsidRPr="005E2E71">
        <w:rPr>
          <w:rFonts w:ascii="Arial" w:hAnsi="Arial" w:cs="Arial"/>
          <w:spacing w:val="-5"/>
          <w:sz w:val="22"/>
          <w:szCs w:val="22"/>
          <w:lang w:eastAsia="en-US"/>
        </w:rPr>
        <w:t xml:space="preserve"> the practitioners’ pharmacology knowledge base, as well as the theory and practice of prescribing to meet the NMC Standards for prescribing programmes (NMC, 2018</w:t>
      </w:r>
      <w:r w:rsidR="000B3320" w:rsidRPr="005E2E71">
        <w:rPr>
          <w:rFonts w:ascii="Arial" w:hAnsi="Arial" w:cs="Arial"/>
          <w:spacing w:val="-5"/>
          <w:sz w:val="22"/>
          <w:szCs w:val="22"/>
          <w:lang w:eastAsia="en-US"/>
        </w:rPr>
        <w:t>b</w:t>
      </w:r>
      <w:r w:rsidRPr="005E2E71">
        <w:rPr>
          <w:rFonts w:ascii="Arial" w:hAnsi="Arial" w:cs="Arial"/>
          <w:spacing w:val="-5"/>
          <w:sz w:val="22"/>
          <w:szCs w:val="22"/>
          <w:lang w:eastAsia="en-US"/>
        </w:rPr>
        <w:t>). The programme is delivered using a blended learning approach, which incorporates both face-to-face and online activities. A variety of strategies and techniques are employed, including simulation-</w:t>
      </w:r>
      <w:r w:rsidRPr="005E2E71">
        <w:rPr>
          <w:rFonts w:ascii="Arial" w:hAnsi="Arial" w:cs="Arial"/>
          <w:spacing w:val="-5"/>
          <w:sz w:val="22"/>
          <w:szCs w:val="22"/>
          <w:lang w:eastAsia="en-US"/>
        </w:rPr>
        <w:lastRenderedPageBreak/>
        <w:t xml:space="preserve">based learning, to encourage critical enquiry and problem solving, in recognition of the complexities that may be encountered in prescribing practice. </w:t>
      </w:r>
    </w:p>
    <w:p w14:paraId="573D7B0B" w14:textId="77777777" w:rsidR="00A92C9B" w:rsidRPr="005E2E71" w:rsidRDefault="00A92C9B" w:rsidP="00A92C9B">
      <w:pPr>
        <w:pStyle w:val="ListParagraph"/>
        <w:numPr>
          <w:ilvl w:val="0"/>
          <w:numId w:val="1"/>
        </w:numPr>
        <w:rPr>
          <w:rFonts w:ascii="Arial" w:hAnsi="Arial" w:cs="Arial"/>
        </w:rPr>
      </w:pPr>
      <w:r w:rsidRPr="005E2E71">
        <w:rPr>
          <w:rFonts w:ascii="Arial" w:hAnsi="Arial" w:cs="Arial"/>
          <w:b/>
        </w:rPr>
        <w:t>Aims of the Course</w:t>
      </w:r>
    </w:p>
    <w:p w14:paraId="351867EF" w14:textId="77777777" w:rsidR="00F44B2A" w:rsidRPr="005E2E71" w:rsidRDefault="00F44B2A" w:rsidP="00F44B2A">
      <w:pPr>
        <w:rPr>
          <w:rFonts w:ascii="Arial" w:eastAsia="Calibri" w:hAnsi="Arial" w:cs="Arial"/>
          <w:iCs/>
        </w:rPr>
      </w:pPr>
    </w:p>
    <w:p w14:paraId="63EC0B96" w14:textId="5744475D" w:rsidR="00F44B2A" w:rsidRPr="005E2E71" w:rsidRDefault="00F44B2A" w:rsidP="00F44B2A">
      <w:pPr>
        <w:rPr>
          <w:rFonts w:ascii="Arial" w:eastAsia="Calibri" w:hAnsi="Arial" w:cs="Arial"/>
          <w:iCs/>
          <w:sz w:val="22"/>
          <w:szCs w:val="22"/>
        </w:rPr>
      </w:pPr>
      <w:r w:rsidRPr="005E2E71">
        <w:rPr>
          <w:rFonts w:ascii="Arial" w:eastAsia="Calibri" w:hAnsi="Arial" w:cs="Arial"/>
          <w:iCs/>
          <w:sz w:val="22"/>
          <w:szCs w:val="22"/>
        </w:rPr>
        <w:t>The aims of the programme are to:</w:t>
      </w:r>
    </w:p>
    <w:p w14:paraId="718559C6" w14:textId="77777777" w:rsidR="00F44B2A" w:rsidRPr="005E2E71" w:rsidRDefault="00F44B2A" w:rsidP="00F44B2A">
      <w:pPr>
        <w:pStyle w:val="ListParagraph"/>
        <w:numPr>
          <w:ilvl w:val="0"/>
          <w:numId w:val="5"/>
        </w:numPr>
        <w:rPr>
          <w:rFonts w:ascii="Arial" w:hAnsi="Arial" w:cs="Arial"/>
          <w:iCs/>
        </w:rPr>
      </w:pPr>
      <w:r w:rsidRPr="005E2E71">
        <w:rPr>
          <w:rFonts w:ascii="Arial" w:hAnsi="Arial" w:cs="Arial"/>
          <w:iCs/>
        </w:rPr>
        <w:t xml:space="preserve">enable participants to develop in-depth knowledge and understanding of clinical pharmacology and prescribing practice, </w:t>
      </w:r>
    </w:p>
    <w:p w14:paraId="471B4E36" w14:textId="25DFF9D7" w:rsidR="00F44B2A" w:rsidRPr="005E2E71" w:rsidRDefault="00F44B2A" w:rsidP="00933601">
      <w:pPr>
        <w:pStyle w:val="ListParagraph"/>
        <w:numPr>
          <w:ilvl w:val="0"/>
          <w:numId w:val="4"/>
        </w:numPr>
        <w:rPr>
          <w:rFonts w:ascii="Arial" w:hAnsi="Arial" w:cs="Arial"/>
          <w:iCs/>
        </w:rPr>
      </w:pPr>
      <w:r w:rsidRPr="005E2E71">
        <w:rPr>
          <w:rFonts w:ascii="Arial" w:hAnsi="Arial" w:cs="Arial"/>
          <w:iCs/>
        </w:rPr>
        <w:t xml:space="preserve">equip participants to become competent, </w:t>
      </w:r>
      <w:proofErr w:type="gramStart"/>
      <w:r w:rsidRPr="005E2E71">
        <w:rPr>
          <w:rFonts w:ascii="Arial" w:hAnsi="Arial" w:cs="Arial"/>
          <w:iCs/>
        </w:rPr>
        <w:t>safe</w:t>
      </w:r>
      <w:proofErr w:type="gramEnd"/>
      <w:r w:rsidRPr="005E2E71">
        <w:rPr>
          <w:rFonts w:ascii="Arial" w:hAnsi="Arial" w:cs="Arial"/>
          <w:iCs/>
        </w:rPr>
        <w:t xml:space="preserve"> and effective independent/ supplementary prescribers, thereby meeting the standards set by the NMC for nurses and midwives.</w:t>
      </w:r>
    </w:p>
    <w:p w14:paraId="548A958F" w14:textId="77777777" w:rsidR="00A92C9B" w:rsidRPr="005E2E71" w:rsidRDefault="00A92C9B" w:rsidP="00A92C9B">
      <w:pPr>
        <w:pStyle w:val="ListParagraph"/>
        <w:ind w:left="0"/>
        <w:rPr>
          <w:rFonts w:ascii="Arial" w:hAnsi="Arial" w:cs="Arial"/>
          <w:iCs/>
        </w:rPr>
      </w:pPr>
    </w:p>
    <w:p w14:paraId="63987C31" w14:textId="77777777" w:rsidR="00A92C9B" w:rsidRPr="005E2E71" w:rsidRDefault="00A92C9B" w:rsidP="00A92C9B">
      <w:pPr>
        <w:pStyle w:val="ListParagraph"/>
        <w:numPr>
          <w:ilvl w:val="0"/>
          <w:numId w:val="1"/>
        </w:numPr>
        <w:rPr>
          <w:rFonts w:ascii="Arial" w:hAnsi="Arial" w:cs="Arial"/>
        </w:rPr>
      </w:pPr>
      <w:r w:rsidRPr="005E2E71">
        <w:rPr>
          <w:rFonts w:ascii="Arial" w:hAnsi="Arial" w:cs="Arial"/>
          <w:b/>
        </w:rPr>
        <w:t>Intended Learning Outcomes</w:t>
      </w:r>
    </w:p>
    <w:p w14:paraId="3DA30F0F" w14:textId="77777777" w:rsidR="00A92C9B" w:rsidRPr="005E2E71" w:rsidRDefault="00A92C9B" w:rsidP="00A92C9B">
      <w:pPr>
        <w:rPr>
          <w:rFonts w:ascii="Arial" w:hAnsi="Arial" w:cs="Arial"/>
        </w:rPr>
      </w:pPr>
    </w:p>
    <w:p w14:paraId="1031A180" w14:textId="6DF853DA" w:rsidR="00480EE4" w:rsidRPr="005E2E71" w:rsidRDefault="00480EE4" w:rsidP="00480EE4">
      <w:pPr>
        <w:spacing w:after="200" w:line="276" w:lineRule="auto"/>
        <w:rPr>
          <w:rFonts w:ascii="Arial" w:eastAsia="Calibri" w:hAnsi="Arial" w:cs="Arial"/>
          <w:sz w:val="22"/>
          <w:szCs w:val="22"/>
          <w:lang w:eastAsia="en-US"/>
        </w:rPr>
      </w:pPr>
      <w:r w:rsidRPr="005E2E71">
        <w:rPr>
          <w:rFonts w:ascii="Arial" w:eastAsia="Calibri" w:hAnsi="Arial" w:cs="Arial"/>
          <w:sz w:val="22"/>
          <w:szCs w:val="22"/>
          <w:lang w:eastAsia="en-US"/>
        </w:rPr>
        <w:t xml:space="preserve">The course outcomes are referenced to the Frameworks for Higher Education Qualifications of UK Degree-awarding Bodies (2014) and relate to the typical student. The course provides opportunities for students to develop and demonstrate knowledge and understanding specific to the subject, key </w:t>
      </w:r>
      <w:proofErr w:type="gramStart"/>
      <w:r w:rsidRPr="005E2E71">
        <w:rPr>
          <w:rFonts w:ascii="Arial" w:eastAsia="Calibri" w:hAnsi="Arial" w:cs="Arial"/>
          <w:sz w:val="22"/>
          <w:szCs w:val="22"/>
          <w:lang w:eastAsia="en-US"/>
        </w:rPr>
        <w:t>skills</w:t>
      </w:r>
      <w:proofErr w:type="gramEnd"/>
      <w:r w:rsidRPr="005E2E71">
        <w:rPr>
          <w:rFonts w:ascii="Arial" w:eastAsia="Calibri" w:hAnsi="Arial" w:cs="Arial"/>
          <w:sz w:val="22"/>
          <w:szCs w:val="22"/>
          <w:lang w:eastAsia="en-US"/>
        </w:rPr>
        <w:t xml:space="preserve"> and </w:t>
      </w:r>
      <w:r w:rsidR="0040502A" w:rsidRPr="005E2E71">
        <w:rPr>
          <w:rFonts w:ascii="Arial" w:eastAsia="Calibri" w:hAnsi="Arial" w:cs="Arial"/>
          <w:sz w:val="22"/>
          <w:szCs w:val="22"/>
          <w:lang w:eastAsia="en-US"/>
        </w:rPr>
        <w:t>post-</w:t>
      </w:r>
      <w:r w:rsidRPr="005E2E71">
        <w:rPr>
          <w:rFonts w:ascii="Arial" w:eastAsia="Calibri" w:hAnsi="Arial" w:cs="Arial"/>
          <w:sz w:val="22"/>
          <w:szCs w:val="22"/>
          <w:lang w:eastAsia="en-US"/>
        </w:rPr>
        <w:t>graduate attributes in the following areas:</w:t>
      </w:r>
    </w:p>
    <w:p w14:paraId="6AB5BF10" w14:textId="596FC62B" w:rsidR="0040502A" w:rsidRPr="005E2E71" w:rsidRDefault="0040502A" w:rsidP="00480EE4">
      <w:pPr>
        <w:spacing w:after="200" w:line="276" w:lineRule="auto"/>
        <w:rPr>
          <w:rFonts w:ascii="Arial" w:eastAsia="Calibri" w:hAnsi="Arial" w:cs="Arial"/>
          <w:sz w:val="22"/>
          <w:szCs w:val="22"/>
          <w:lang w:eastAsia="en-US"/>
        </w:rPr>
      </w:pPr>
    </w:p>
    <w:p w14:paraId="3012350A" w14:textId="45899D2B" w:rsidR="0040502A" w:rsidRPr="005E2E71" w:rsidRDefault="0040502A" w:rsidP="00480EE4">
      <w:pPr>
        <w:spacing w:after="200" w:line="276" w:lineRule="auto"/>
        <w:rPr>
          <w:rFonts w:ascii="Arial" w:eastAsia="Calibri" w:hAnsi="Arial" w:cs="Arial"/>
          <w:sz w:val="22"/>
          <w:szCs w:val="22"/>
          <w:lang w:eastAsia="en-US"/>
        </w:rPr>
      </w:pPr>
    </w:p>
    <w:p w14:paraId="4B5F60F9" w14:textId="25180EF2" w:rsidR="0040502A" w:rsidRPr="005E2E71" w:rsidRDefault="0040502A" w:rsidP="00480EE4">
      <w:pPr>
        <w:spacing w:after="200" w:line="276" w:lineRule="auto"/>
        <w:rPr>
          <w:rFonts w:ascii="Arial" w:eastAsia="Calibri" w:hAnsi="Arial" w:cs="Arial"/>
          <w:sz w:val="22"/>
          <w:szCs w:val="22"/>
          <w:lang w:eastAsia="en-US"/>
        </w:rPr>
      </w:pPr>
    </w:p>
    <w:p w14:paraId="27020F44" w14:textId="151063C5" w:rsidR="0040502A" w:rsidRPr="005E2E71" w:rsidRDefault="0040502A" w:rsidP="00480EE4">
      <w:pPr>
        <w:spacing w:after="200" w:line="276" w:lineRule="auto"/>
        <w:rPr>
          <w:rFonts w:ascii="Arial" w:eastAsia="Calibri" w:hAnsi="Arial" w:cs="Arial"/>
          <w:sz w:val="22"/>
          <w:szCs w:val="22"/>
          <w:lang w:eastAsia="en-US"/>
        </w:rPr>
      </w:pPr>
    </w:p>
    <w:p w14:paraId="30D03BA8" w14:textId="3F8D739F" w:rsidR="0040502A" w:rsidRPr="005E2E71" w:rsidRDefault="0040502A" w:rsidP="00480EE4">
      <w:pPr>
        <w:spacing w:after="200" w:line="276" w:lineRule="auto"/>
        <w:rPr>
          <w:rFonts w:ascii="Arial" w:eastAsia="Calibri" w:hAnsi="Arial" w:cs="Arial"/>
          <w:sz w:val="22"/>
          <w:szCs w:val="22"/>
          <w:lang w:eastAsia="en-US"/>
        </w:rPr>
      </w:pPr>
    </w:p>
    <w:p w14:paraId="30998191" w14:textId="0C0C533F" w:rsidR="0040502A" w:rsidRPr="005E2E71" w:rsidRDefault="0040502A" w:rsidP="00480EE4">
      <w:pPr>
        <w:spacing w:after="200" w:line="276" w:lineRule="auto"/>
        <w:rPr>
          <w:rFonts w:ascii="Arial" w:eastAsia="Calibri" w:hAnsi="Arial" w:cs="Arial"/>
          <w:sz w:val="22"/>
          <w:szCs w:val="22"/>
          <w:lang w:eastAsia="en-US"/>
        </w:rPr>
      </w:pPr>
    </w:p>
    <w:p w14:paraId="4FE25ADF" w14:textId="39C505B0" w:rsidR="0040502A" w:rsidRPr="005E2E71" w:rsidRDefault="0040502A" w:rsidP="00480EE4">
      <w:pPr>
        <w:spacing w:after="200" w:line="276" w:lineRule="auto"/>
        <w:rPr>
          <w:rFonts w:ascii="Arial" w:eastAsia="Calibri" w:hAnsi="Arial" w:cs="Arial"/>
          <w:sz w:val="22"/>
          <w:szCs w:val="22"/>
          <w:lang w:eastAsia="en-US"/>
        </w:rPr>
      </w:pPr>
    </w:p>
    <w:p w14:paraId="56780142" w14:textId="54D53663" w:rsidR="0040502A" w:rsidRPr="005E2E71" w:rsidRDefault="0040502A" w:rsidP="00480EE4">
      <w:pPr>
        <w:spacing w:after="200" w:line="276" w:lineRule="auto"/>
        <w:rPr>
          <w:rFonts w:ascii="Arial" w:eastAsia="Calibri" w:hAnsi="Arial" w:cs="Arial"/>
          <w:sz w:val="22"/>
          <w:szCs w:val="22"/>
          <w:lang w:eastAsia="en-US"/>
        </w:rPr>
      </w:pPr>
    </w:p>
    <w:p w14:paraId="12946602" w14:textId="621A1FBC" w:rsidR="0040502A" w:rsidRPr="005E2E71" w:rsidRDefault="0040502A" w:rsidP="00480EE4">
      <w:pPr>
        <w:spacing w:after="200" w:line="276" w:lineRule="auto"/>
        <w:rPr>
          <w:rFonts w:ascii="Arial" w:eastAsia="Calibri" w:hAnsi="Arial" w:cs="Arial"/>
          <w:sz w:val="22"/>
          <w:szCs w:val="22"/>
          <w:lang w:eastAsia="en-US"/>
        </w:rPr>
      </w:pPr>
    </w:p>
    <w:p w14:paraId="1F40544D" w14:textId="01EEE21F" w:rsidR="0040502A" w:rsidRPr="005E2E71" w:rsidRDefault="0040502A" w:rsidP="00480EE4">
      <w:pPr>
        <w:spacing w:after="200" w:line="276" w:lineRule="auto"/>
        <w:rPr>
          <w:rFonts w:ascii="Arial" w:eastAsia="Calibri" w:hAnsi="Arial" w:cs="Arial"/>
          <w:sz w:val="22"/>
          <w:szCs w:val="22"/>
          <w:lang w:eastAsia="en-US"/>
        </w:rPr>
      </w:pPr>
    </w:p>
    <w:p w14:paraId="44657210" w14:textId="02D5AF81" w:rsidR="0040502A" w:rsidRPr="005E2E71" w:rsidRDefault="0040502A" w:rsidP="00480EE4">
      <w:pPr>
        <w:spacing w:after="200" w:line="276" w:lineRule="auto"/>
        <w:rPr>
          <w:rFonts w:ascii="Arial" w:eastAsia="Calibri" w:hAnsi="Arial" w:cs="Arial"/>
          <w:sz w:val="22"/>
          <w:szCs w:val="22"/>
          <w:lang w:eastAsia="en-US"/>
        </w:rPr>
      </w:pPr>
    </w:p>
    <w:p w14:paraId="5ABA8A41" w14:textId="4156C7C4" w:rsidR="0040502A" w:rsidRPr="005E2E71" w:rsidRDefault="0040502A" w:rsidP="00480EE4">
      <w:pPr>
        <w:spacing w:after="200" w:line="276" w:lineRule="auto"/>
        <w:rPr>
          <w:rFonts w:ascii="Arial" w:eastAsia="Calibri" w:hAnsi="Arial" w:cs="Arial"/>
          <w:sz w:val="22"/>
          <w:szCs w:val="22"/>
          <w:lang w:eastAsia="en-US"/>
        </w:rPr>
      </w:pPr>
    </w:p>
    <w:p w14:paraId="393A871D" w14:textId="155E465E" w:rsidR="0040502A" w:rsidRPr="005E2E71" w:rsidRDefault="0040502A" w:rsidP="00480EE4">
      <w:pPr>
        <w:spacing w:after="200" w:line="276" w:lineRule="auto"/>
        <w:rPr>
          <w:rFonts w:ascii="Arial" w:eastAsia="Calibri" w:hAnsi="Arial" w:cs="Arial"/>
          <w:sz w:val="22"/>
          <w:szCs w:val="22"/>
          <w:lang w:eastAsia="en-US"/>
        </w:rPr>
      </w:pPr>
    </w:p>
    <w:p w14:paraId="2EBFB93F" w14:textId="77777777" w:rsidR="0040502A" w:rsidRPr="005E2E71" w:rsidRDefault="0040502A" w:rsidP="00480EE4">
      <w:pPr>
        <w:spacing w:after="200" w:line="276" w:lineRule="auto"/>
        <w:rPr>
          <w:rFonts w:ascii="Arial" w:eastAsia="Calibri" w:hAnsi="Arial" w:cs="Arial"/>
          <w:sz w:val="22"/>
          <w:szCs w:val="22"/>
          <w:lang w:eastAsia="en-US"/>
        </w:rPr>
      </w:pPr>
    </w:p>
    <w:p w14:paraId="68775590" w14:textId="2D3CF0A4" w:rsidR="00933601" w:rsidRPr="005E2E71" w:rsidRDefault="00933601" w:rsidP="00933601">
      <w:pPr>
        <w:spacing w:after="200" w:line="276" w:lineRule="auto"/>
        <w:rPr>
          <w:rFonts w:ascii="Arial" w:eastAsia="Calibri" w:hAnsi="Arial" w:cs="Arial"/>
          <w:sz w:val="22"/>
          <w:szCs w:val="22"/>
          <w:lang w:eastAsia="en-US"/>
        </w:rPr>
      </w:pPr>
    </w:p>
    <w:p w14:paraId="09304A51" w14:textId="65941688" w:rsidR="00A92C9B" w:rsidRPr="005E2E71" w:rsidRDefault="00A92C9B" w:rsidP="00933601">
      <w:pPr>
        <w:contextualSpacing/>
        <w:rPr>
          <w:rFonts w:ascii="Arial" w:hAnsi="Arial" w:cs="Arial"/>
        </w:rPr>
      </w:pPr>
    </w:p>
    <w:p w14:paraId="7D315650" w14:textId="77777777" w:rsidR="000B737F" w:rsidRPr="005E2E71" w:rsidRDefault="000B737F" w:rsidP="00933601">
      <w:pPr>
        <w:contextualSpacing/>
        <w:rPr>
          <w:rFonts w:ascii="Arial" w:hAnsi="Arial" w:cs="Arial"/>
        </w:rPr>
      </w:pPr>
    </w:p>
    <w:p w14:paraId="3385991A" w14:textId="1C80830D" w:rsidR="00933601" w:rsidRPr="005E2E71" w:rsidRDefault="00933601" w:rsidP="00A92C9B">
      <w:pPr>
        <w:ind w:left="720"/>
        <w:contextualSpacing/>
        <w:rPr>
          <w:rFonts w:ascii="Arial" w:hAnsi="Arial" w:cs="Arial"/>
        </w:rPr>
        <w:sectPr w:rsidR="00933601" w:rsidRPr="005E2E71" w:rsidSect="00363792">
          <w:footerReference w:type="default" r:id="rId11"/>
          <w:pgSz w:w="11906" w:h="16838"/>
          <w:pgMar w:top="1440" w:right="1440" w:bottom="1440" w:left="1440" w:header="708" w:footer="708" w:gutter="0"/>
          <w:cols w:space="708"/>
          <w:docGrid w:linePitch="360"/>
        </w:sectPr>
      </w:pPr>
    </w:p>
    <w:p w14:paraId="0D3EE3BA" w14:textId="77777777" w:rsidR="000765B1" w:rsidRPr="005E2E71" w:rsidRDefault="000765B1" w:rsidP="00A92C9B">
      <w:pPr>
        <w:rPr>
          <w:rFonts w:ascii="Arial" w:hAnsi="Arial" w:cs="Arial"/>
        </w:rPr>
      </w:pPr>
    </w:p>
    <w:p w14:paraId="655A2A5F" w14:textId="4071CDBB" w:rsidR="0040502A" w:rsidRPr="005E2E71" w:rsidRDefault="0040502A"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833"/>
        <w:gridCol w:w="870"/>
        <w:gridCol w:w="3877"/>
        <w:gridCol w:w="883"/>
        <w:gridCol w:w="4860"/>
      </w:tblGrid>
      <w:tr w:rsidR="00F04905" w:rsidRPr="005E2E71" w14:paraId="2FDBDFA2" w14:textId="77777777" w:rsidTr="00306D52">
        <w:tc>
          <w:tcPr>
            <w:tcW w:w="15126" w:type="dxa"/>
            <w:gridSpan w:val="6"/>
            <w:shd w:val="clear" w:color="auto" w:fill="DBE5F1"/>
          </w:tcPr>
          <w:p w14:paraId="0F857508" w14:textId="77777777" w:rsidR="00F04905" w:rsidRPr="005E2E71" w:rsidRDefault="00F04905" w:rsidP="00F04905">
            <w:pPr>
              <w:rPr>
                <w:rFonts w:ascii="Arial" w:hAnsi="Arial" w:cs="Arial"/>
                <w:b/>
                <w:sz w:val="22"/>
                <w:szCs w:val="22"/>
              </w:rPr>
            </w:pPr>
            <w:r w:rsidRPr="005E2E71">
              <w:rPr>
                <w:rFonts w:ascii="Arial" w:hAnsi="Arial" w:cs="Arial"/>
                <w:b/>
                <w:sz w:val="22"/>
                <w:szCs w:val="22"/>
              </w:rPr>
              <w:t>Programme Learning Outcomes</w:t>
            </w:r>
          </w:p>
          <w:p w14:paraId="00F771F8" w14:textId="77777777" w:rsidR="00F04905" w:rsidRPr="005E2E71" w:rsidRDefault="00F04905" w:rsidP="00F04905">
            <w:pPr>
              <w:rPr>
                <w:rFonts w:ascii="Arial" w:hAnsi="Arial" w:cs="Arial"/>
                <w:b/>
                <w:sz w:val="22"/>
                <w:szCs w:val="22"/>
              </w:rPr>
            </w:pPr>
          </w:p>
        </w:tc>
      </w:tr>
      <w:tr w:rsidR="00F04905" w:rsidRPr="005E2E71" w14:paraId="2797BD2F" w14:textId="77777777" w:rsidTr="00306D52">
        <w:tc>
          <w:tcPr>
            <w:tcW w:w="803" w:type="dxa"/>
            <w:shd w:val="clear" w:color="auto" w:fill="DBE5F1"/>
          </w:tcPr>
          <w:p w14:paraId="211F0799" w14:textId="77777777" w:rsidR="00F04905" w:rsidRPr="005E2E71" w:rsidRDefault="00F04905" w:rsidP="00F04905">
            <w:pPr>
              <w:rPr>
                <w:rFonts w:ascii="Arial" w:hAnsi="Arial" w:cs="Arial"/>
                <w:b/>
                <w:sz w:val="22"/>
                <w:szCs w:val="22"/>
              </w:rPr>
            </w:pPr>
          </w:p>
        </w:tc>
        <w:tc>
          <w:tcPr>
            <w:tcW w:w="3833" w:type="dxa"/>
            <w:shd w:val="clear" w:color="auto" w:fill="DBE5F1"/>
          </w:tcPr>
          <w:p w14:paraId="3E732AF9" w14:textId="77777777" w:rsidR="00F04905" w:rsidRPr="005E2E71" w:rsidRDefault="00F04905" w:rsidP="00F04905">
            <w:pPr>
              <w:rPr>
                <w:rFonts w:ascii="Arial" w:hAnsi="Arial" w:cs="Arial"/>
                <w:b/>
                <w:sz w:val="22"/>
                <w:szCs w:val="22"/>
              </w:rPr>
            </w:pPr>
            <w:r w:rsidRPr="005E2E71">
              <w:rPr>
                <w:rFonts w:ascii="Arial" w:hAnsi="Arial" w:cs="Arial"/>
                <w:b/>
                <w:sz w:val="22"/>
                <w:szCs w:val="22"/>
              </w:rPr>
              <w:t>Knowledge and Understanding</w:t>
            </w:r>
          </w:p>
          <w:p w14:paraId="63445EFF" w14:textId="77777777" w:rsidR="00F04905" w:rsidRPr="005E2E71" w:rsidRDefault="00F04905" w:rsidP="00F04905">
            <w:pPr>
              <w:rPr>
                <w:rFonts w:ascii="Arial" w:hAnsi="Arial" w:cs="Arial"/>
                <w:b/>
                <w:sz w:val="22"/>
                <w:szCs w:val="22"/>
              </w:rPr>
            </w:pPr>
          </w:p>
          <w:p w14:paraId="50FD3833" w14:textId="7E065129" w:rsidR="00F04905" w:rsidRPr="005E2E71" w:rsidRDefault="00F04905" w:rsidP="00F04905">
            <w:pPr>
              <w:rPr>
                <w:rFonts w:ascii="Arial" w:hAnsi="Arial" w:cs="Arial"/>
                <w:sz w:val="22"/>
                <w:szCs w:val="22"/>
              </w:rPr>
            </w:pPr>
            <w:r w:rsidRPr="005E2E71">
              <w:rPr>
                <w:rFonts w:ascii="Arial" w:hAnsi="Arial" w:cs="Arial"/>
                <w:sz w:val="22"/>
                <w:szCs w:val="22"/>
              </w:rPr>
              <w:t>On completion of the course students will be able to</w:t>
            </w:r>
            <w:r w:rsidR="001B7007" w:rsidRPr="005E2E71">
              <w:rPr>
                <w:rFonts w:ascii="Arial" w:hAnsi="Arial" w:cs="Arial"/>
                <w:sz w:val="22"/>
                <w:szCs w:val="22"/>
              </w:rPr>
              <w:t xml:space="preserve"> </w:t>
            </w:r>
            <w:r w:rsidR="009D593E" w:rsidRPr="005E2E71">
              <w:rPr>
                <w:rFonts w:ascii="Arial" w:hAnsi="Arial" w:cs="Arial"/>
                <w:sz w:val="22"/>
                <w:szCs w:val="22"/>
              </w:rPr>
              <w:t>apply mastery</w:t>
            </w:r>
            <w:r w:rsidR="001B7007" w:rsidRPr="005E2E71">
              <w:rPr>
                <w:rFonts w:ascii="Arial" w:hAnsi="Arial" w:cs="Arial"/>
                <w:sz w:val="22"/>
                <w:szCs w:val="22"/>
              </w:rPr>
              <w:t xml:space="preserve"> of knowledge and understanding of</w:t>
            </w:r>
            <w:r w:rsidRPr="005E2E71">
              <w:rPr>
                <w:rFonts w:ascii="Arial" w:hAnsi="Arial" w:cs="Arial"/>
                <w:sz w:val="22"/>
                <w:szCs w:val="22"/>
              </w:rPr>
              <w:t>:</w:t>
            </w:r>
          </w:p>
        </w:tc>
        <w:tc>
          <w:tcPr>
            <w:tcW w:w="870" w:type="dxa"/>
            <w:shd w:val="clear" w:color="auto" w:fill="DBE5F1"/>
          </w:tcPr>
          <w:p w14:paraId="1D61D505" w14:textId="77777777" w:rsidR="00F04905" w:rsidRPr="005E2E71" w:rsidRDefault="00F04905" w:rsidP="00F04905">
            <w:pPr>
              <w:rPr>
                <w:rFonts w:ascii="Arial" w:hAnsi="Arial" w:cs="Arial"/>
                <w:b/>
                <w:sz w:val="22"/>
                <w:szCs w:val="22"/>
              </w:rPr>
            </w:pPr>
          </w:p>
        </w:tc>
        <w:tc>
          <w:tcPr>
            <w:tcW w:w="3877" w:type="dxa"/>
            <w:shd w:val="clear" w:color="auto" w:fill="DBE5F1"/>
          </w:tcPr>
          <w:p w14:paraId="4D35E826" w14:textId="77777777" w:rsidR="00F04905" w:rsidRPr="005E2E71" w:rsidRDefault="00F04905" w:rsidP="00F04905">
            <w:pPr>
              <w:rPr>
                <w:rFonts w:ascii="Arial" w:hAnsi="Arial" w:cs="Arial"/>
                <w:b/>
                <w:sz w:val="22"/>
                <w:szCs w:val="22"/>
              </w:rPr>
            </w:pPr>
            <w:r w:rsidRPr="005E2E71">
              <w:rPr>
                <w:rFonts w:ascii="Arial" w:hAnsi="Arial" w:cs="Arial"/>
                <w:b/>
                <w:sz w:val="22"/>
                <w:szCs w:val="22"/>
              </w:rPr>
              <w:t>Intellectual Skills</w:t>
            </w:r>
          </w:p>
          <w:p w14:paraId="2817D0A6" w14:textId="77777777" w:rsidR="00F04905" w:rsidRPr="005E2E71" w:rsidRDefault="00F04905" w:rsidP="00F04905">
            <w:pPr>
              <w:rPr>
                <w:rFonts w:ascii="Arial" w:hAnsi="Arial" w:cs="Arial"/>
                <w:b/>
                <w:sz w:val="22"/>
                <w:szCs w:val="22"/>
              </w:rPr>
            </w:pPr>
          </w:p>
          <w:p w14:paraId="34AC37CA" w14:textId="334D6BDB" w:rsidR="00F04905" w:rsidRPr="005E2E71" w:rsidRDefault="00F04905" w:rsidP="00F04905">
            <w:pPr>
              <w:rPr>
                <w:rFonts w:ascii="Arial" w:hAnsi="Arial" w:cs="Arial"/>
                <w:sz w:val="22"/>
                <w:szCs w:val="22"/>
              </w:rPr>
            </w:pPr>
            <w:r w:rsidRPr="005E2E71">
              <w:rPr>
                <w:rFonts w:ascii="Arial" w:hAnsi="Arial" w:cs="Arial"/>
                <w:sz w:val="22"/>
                <w:szCs w:val="22"/>
              </w:rPr>
              <w:t>On completion of the course students will be able to:</w:t>
            </w:r>
          </w:p>
        </w:tc>
        <w:tc>
          <w:tcPr>
            <w:tcW w:w="883" w:type="dxa"/>
            <w:shd w:val="clear" w:color="auto" w:fill="DBE5F1"/>
          </w:tcPr>
          <w:p w14:paraId="4DE4FECC" w14:textId="77777777" w:rsidR="00F04905" w:rsidRPr="005E2E71" w:rsidRDefault="00F04905" w:rsidP="00F04905">
            <w:pPr>
              <w:rPr>
                <w:rFonts w:ascii="Arial" w:hAnsi="Arial" w:cs="Arial"/>
                <w:b/>
                <w:sz w:val="22"/>
                <w:szCs w:val="22"/>
              </w:rPr>
            </w:pPr>
          </w:p>
        </w:tc>
        <w:tc>
          <w:tcPr>
            <w:tcW w:w="4860" w:type="dxa"/>
            <w:shd w:val="clear" w:color="auto" w:fill="DBE5F1"/>
          </w:tcPr>
          <w:p w14:paraId="650FBDB6" w14:textId="77777777" w:rsidR="00F04905" w:rsidRPr="005E2E71" w:rsidRDefault="00F04905" w:rsidP="00F04905">
            <w:pPr>
              <w:rPr>
                <w:rFonts w:ascii="Arial" w:hAnsi="Arial" w:cs="Arial"/>
                <w:b/>
                <w:sz w:val="22"/>
                <w:szCs w:val="22"/>
              </w:rPr>
            </w:pPr>
            <w:r w:rsidRPr="005E2E71">
              <w:rPr>
                <w:rFonts w:ascii="Arial" w:hAnsi="Arial" w:cs="Arial"/>
                <w:b/>
                <w:sz w:val="22"/>
                <w:szCs w:val="22"/>
              </w:rPr>
              <w:t>Subject Practical Skills</w:t>
            </w:r>
          </w:p>
          <w:p w14:paraId="27EDD4A6" w14:textId="77777777" w:rsidR="00F04905" w:rsidRPr="005E2E71" w:rsidRDefault="00F04905" w:rsidP="00F04905">
            <w:pPr>
              <w:rPr>
                <w:rFonts w:ascii="Arial" w:hAnsi="Arial" w:cs="Arial"/>
                <w:b/>
                <w:sz w:val="22"/>
                <w:szCs w:val="22"/>
              </w:rPr>
            </w:pPr>
          </w:p>
          <w:p w14:paraId="6A039C80" w14:textId="3C2F8ED2" w:rsidR="00F04905" w:rsidRPr="005E2E71" w:rsidRDefault="00F04905" w:rsidP="00F04905">
            <w:pPr>
              <w:rPr>
                <w:rFonts w:ascii="Arial" w:hAnsi="Arial" w:cs="Arial"/>
                <w:b/>
                <w:sz w:val="22"/>
                <w:szCs w:val="22"/>
              </w:rPr>
            </w:pPr>
            <w:r w:rsidRPr="005E2E71">
              <w:rPr>
                <w:rFonts w:ascii="Arial" w:hAnsi="Arial" w:cs="Arial"/>
                <w:sz w:val="22"/>
                <w:szCs w:val="22"/>
              </w:rPr>
              <w:t>On completion of the course students will be able to:</w:t>
            </w:r>
          </w:p>
        </w:tc>
      </w:tr>
      <w:tr w:rsidR="00F04905" w:rsidRPr="005E2E71" w14:paraId="03D35568" w14:textId="77777777" w:rsidTr="00DC5DD7">
        <w:trPr>
          <w:trHeight w:val="1311"/>
        </w:trPr>
        <w:tc>
          <w:tcPr>
            <w:tcW w:w="803" w:type="dxa"/>
            <w:shd w:val="clear" w:color="auto" w:fill="auto"/>
          </w:tcPr>
          <w:p w14:paraId="03417005" w14:textId="77777777" w:rsidR="00F04905" w:rsidRPr="005E2E71" w:rsidRDefault="00F04905" w:rsidP="00F04905">
            <w:pPr>
              <w:rPr>
                <w:rFonts w:ascii="Arial" w:hAnsi="Arial" w:cs="Arial"/>
                <w:sz w:val="22"/>
                <w:szCs w:val="22"/>
              </w:rPr>
            </w:pPr>
            <w:r w:rsidRPr="005E2E71">
              <w:rPr>
                <w:rFonts w:ascii="Arial" w:hAnsi="Arial" w:cs="Arial"/>
                <w:sz w:val="22"/>
                <w:szCs w:val="22"/>
              </w:rPr>
              <w:t>A1</w:t>
            </w:r>
          </w:p>
        </w:tc>
        <w:tc>
          <w:tcPr>
            <w:tcW w:w="3833" w:type="dxa"/>
            <w:shd w:val="clear" w:color="auto" w:fill="auto"/>
          </w:tcPr>
          <w:p w14:paraId="00732F49" w14:textId="7D7EAA98" w:rsidR="00F04905" w:rsidRPr="005E2E71" w:rsidRDefault="003B6F9A" w:rsidP="00F04905">
            <w:pPr>
              <w:rPr>
                <w:rFonts w:ascii="Arial" w:hAnsi="Arial" w:cs="Arial"/>
                <w:i/>
                <w:sz w:val="22"/>
                <w:szCs w:val="22"/>
              </w:rPr>
            </w:pPr>
            <w:r w:rsidRPr="005E2E71">
              <w:rPr>
                <w:rFonts w:ascii="Arial" w:hAnsi="Arial" w:cs="Arial"/>
                <w:sz w:val="22"/>
                <w:szCs w:val="22"/>
              </w:rPr>
              <w:t xml:space="preserve">pathophysiology, health assessment </w:t>
            </w:r>
            <w:r w:rsidR="000812E7" w:rsidRPr="005E2E71">
              <w:rPr>
                <w:rFonts w:ascii="Arial" w:hAnsi="Arial" w:cs="Arial"/>
                <w:sz w:val="22"/>
                <w:szCs w:val="22"/>
              </w:rPr>
              <w:t>pharmacology</w:t>
            </w:r>
            <w:r w:rsidR="009D593E" w:rsidRPr="005E2E71">
              <w:rPr>
                <w:rFonts w:ascii="Arial" w:hAnsi="Arial" w:cs="Arial"/>
                <w:sz w:val="22"/>
                <w:szCs w:val="22"/>
              </w:rPr>
              <w:t xml:space="preserve"> and prescribing practice</w:t>
            </w:r>
            <w:r w:rsidR="00091859" w:rsidRPr="005E2E71">
              <w:rPr>
                <w:rFonts w:ascii="Arial" w:hAnsi="Arial" w:cs="Arial"/>
                <w:sz w:val="22"/>
                <w:szCs w:val="22"/>
              </w:rPr>
              <w:t>.</w:t>
            </w:r>
          </w:p>
        </w:tc>
        <w:tc>
          <w:tcPr>
            <w:tcW w:w="870" w:type="dxa"/>
            <w:shd w:val="clear" w:color="auto" w:fill="auto"/>
          </w:tcPr>
          <w:p w14:paraId="5DE9B13A" w14:textId="77777777" w:rsidR="00F04905" w:rsidRPr="005E2E71" w:rsidRDefault="00F04905" w:rsidP="00F04905">
            <w:pPr>
              <w:rPr>
                <w:rFonts w:ascii="Arial" w:hAnsi="Arial" w:cs="Arial"/>
                <w:sz w:val="22"/>
                <w:szCs w:val="22"/>
              </w:rPr>
            </w:pPr>
            <w:r w:rsidRPr="005E2E71">
              <w:rPr>
                <w:rFonts w:ascii="Arial" w:hAnsi="Arial" w:cs="Arial"/>
                <w:sz w:val="22"/>
                <w:szCs w:val="22"/>
              </w:rPr>
              <w:t>B1</w:t>
            </w:r>
          </w:p>
        </w:tc>
        <w:tc>
          <w:tcPr>
            <w:tcW w:w="3877" w:type="dxa"/>
            <w:shd w:val="clear" w:color="auto" w:fill="auto"/>
          </w:tcPr>
          <w:p w14:paraId="42C22698" w14:textId="2B41F41D" w:rsidR="00F04905" w:rsidRPr="005E2E71" w:rsidRDefault="00F04905" w:rsidP="00F04905">
            <w:pPr>
              <w:rPr>
                <w:rFonts w:ascii="Arial" w:hAnsi="Arial" w:cs="Arial"/>
                <w:sz w:val="22"/>
                <w:szCs w:val="22"/>
              </w:rPr>
            </w:pPr>
            <w:r w:rsidRPr="005E2E71">
              <w:rPr>
                <w:rFonts w:ascii="Arial" w:hAnsi="Arial" w:cs="Arial"/>
                <w:sz w:val="22"/>
                <w:szCs w:val="22"/>
              </w:rPr>
              <w:t xml:space="preserve">critically apply reflexivity and advanced reasoning skills to complex, novel </w:t>
            </w:r>
            <w:r w:rsidR="00DC5DD7" w:rsidRPr="005E2E71">
              <w:rPr>
                <w:rFonts w:ascii="Arial" w:hAnsi="Arial" w:cs="Arial"/>
                <w:sz w:val="22"/>
                <w:szCs w:val="22"/>
              </w:rPr>
              <w:t>prescribing related</w:t>
            </w:r>
            <w:r w:rsidRPr="005E2E71">
              <w:rPr>
                <w:rFonts w:ascii="Arial" w:hAnsi="Arial" w:cs="Arial"/>
                <w:sz w:val="22"/>
                <w:szCs w:val="22"/>
              </w:rPr>
              <w:t xml:space="preserve"> situations. </w:t>
            </w:r>
          </w:p>
        </w:tc>
        <w:tc>
          <w:tcPr>
            <w:tcW w:w="883" w:type="dxa"/>
            <w:shd w:val="clear" w:color="auto" w:fill="auto"/>
          </w:tcPr>
          <w:p w14:paraId="2D4F72A8" w14:textId="77777777" w:rsidR="00F04905" w:rsidRPr="005E2E71" w:rsidRDefault="00F04905" w:rsidP="00F04905">
            <w:pPr>
              <w:rPr>
                <w:rFonts w:ascii="Arial" w:hAnsi="Arial" w:cs="Arial"/>
                <w:sz w:val="22"/>
                <w:szCs w:val="22"/>
              </w:rPr>
            </w:pPr>
            <w:r w:rsidRPr="005E2E71">
              <w:rPr>
                <w:rFonts w:ascii="Arial" w:hAnsi="Arial" w:cs="Arial"/>
                <w:sz w:val="22"/>
                <w:szCs w:val="22"/>
              </w:rPr>
              <w:t>C1</w:t>
            </w:r>
          </w:p>
        </w:tc>
        <w:tc>
          <w:tcPr>
            <w:tcW w:w="4860" w:type="dxa"/>
            <w:shd w:val="clear" w:color="auto" w:fill="auto"/>
          </w:tcPr>
          <w:p w14:paraId="5BEE5DE9" w14:textId="73FE0CC4" w:rsidR="00F04905" w:rsidRPr="005E2E71" w:rsidRDefault="00F04905" w:rsidP="00F04905">
            <w:pPr>
              <w:rPr>
                <w:rFonts w:ascii="Arial" w:hAnsi="Arial" w:cs="Arial"/>
                <w:sz w:val="22"/>
                <w:szCs w:val="22"/>
              </w:rPr>
            </w:pPr>
            <w:r w:rsidRPr="005E2E71">
              <w:rPr>
                <w:rFonts w:ascii="Arial" w:hAnsi="Arial" w:cs="Arial"/>
                <w:sz w:val="22"/>
                <w:szCs w:val="22"/>
              </w:rPr>
              <w:t xml:space="preserve">incorporate a critical and ethical/professional dimension into complex </w:t>
            </w:r>
            <w:r w:rsidR="00DC5DD7" w:rsidRPr="005E2E71">
              <w:rPr>
                <w:rFonts w:ascii="Arial" w:hAnsi="Arial" w:cs="Arial"/>
                <w:sz w:val="22"/>
                <w:szCs w:val="22"/>
              </w:rPr>
              <w:t xml:space="preserve">prescribing </w:t>
            </w:r>
            <w:r w:rsidRPr="005E2E71">
              <w:rPr>
                <w:rFonts w:ascii="Arial" w:hAnsi="Arial" w:cs="Arial"/>
                <w:sz w:val="22"/>
                <w:szCs w:val="22"/>
              </w:rPr>
              <w:t>decision-making.</w:t>
            </w:r>
          </w:p>
          <w:p w14:paraId="6295AD67" w14:textId="77777777" w:rsidR="00F04905" w:rsidRPr="005E2E71" w:rsidRDefault="00F04905" w:rsidP="00F04905">
            <w:pPr>
              <w:rPr>
                <w:rFonts w:ascii="Arial" w:hAnsi="Arial" w:cs="Arial"/>
                <w:sz w:val="22"/>
                <w:szCs w:val="22"/>
              </w:rPr>
            </w:pPr>
          </w:p>
          <w:p w14:paraId="236564A8" w14:textId="77777777" w:rsidR="00F04905" w:rsidRPr="005E2E71" w:rsidRDefault="00F04905" w:rsidP="00F04905">
            <w:pPr>
              <w:rPr>
                <w:rFonts w:ascii="Arial" w:hAnsi="Arial" w:cs="Arial"/>
                <w:sz w:val="22"/>
                <w:szCs w:val="22"/>
              </w:rPr>
            </w:pPr>
          </w:p>
        </w:tc>
      </w:tr>
      <w:tr w:rsidR="00F04905" w:rsidRPr="005E2E71" w14:paraId="57452BD5" w14:textId="77777777" w:rsidTr="00306D52">
        <w:tc>
          <w:tcPr>
            <w:tcW w:w="803" w:type="dxa"/>
            <w:shd w:val="clear" w:color="auto" w:fill="auto"/>
          </w:tcPr>
          <w:p w14:paraId="5D80181F" w14:textId="77777777" w:rsidR="00F04905" w:rsidRPr="005E2E71" w:rsidRDefault="00F04905" w:rsidP="00F04905">
            <w:pPr>
              <w:rPr>
                <w:rFonts w:ascii="Arial" w:hAnsi="Arial" w:cs="Arial"/>
                <w:sz w:val="22"/>
                <w:szCs w:val="22"/>
              </w:rPr>
            </w:pPr>
            <w:r w:rsidRPr="005E2E71">
              <w:rPr>
                <w:rFonts w:ascii="Arial" w:hAnsi="Arial" w:cs="Arial"/>
                <w:sz w:val="22"/>
                <w:szCs w:val="22"/>
              </w:rPr>
              <w:t>A2</w:t>
            </w:r>
          </w:p>
        </w:tc>
        <w:tc>
          <w:tcPr>
            <w:tcW w:w="3833" w:type="dxa"/>
            <w:shd w:val="clear" w:color="auto" w:fill="auto"/>
          </w:tcPr>
          <w:p w14:paraId="162A56F3" w14:textId="56054994" w:rsidR="00F04905" w:rsidRPr="005E2E71" w:rsidRDefault="00091859" w:rsidP="00F04905">
            <w:pPr>
              <w:rPr>
                <w:rFonts w:ascii="Arial" w:hAnsi="Arial" w:cs="Arial"/>
                <w:sz w:val="22"/>
                <w:szCs w:val="22"/>
              </w:rPr>
            </w:pPr>
            <w:r w:rsidRPr="005E2E71">
              <w:rPr>
                <w:rFonts w:ascii="Arial" w:hAnsi="Arial" w:cs="Arial"/>
                <w:sz w:val="22"/>
                <w:szCs w:val="22"/>
              </w:rPr>
              <w:t xml:space="preserve">the wider socio-political, </w:t>
            </w:r>
            <w:proofErr w:type="gramStart"/>
            <w:r w:rsidRPr="005E2E71">
              <w:rPr>
                <w:rFonts w:ascii="Arial" w:hAnsi="Arial" w:cs="Arial"/>
                <w:sz w:val="22"/>
                <w:szCs w:val="22"/>
              </w:rPr>
              <w:t>financial</w:t>
            </w:r>
            <w:proofErr w:type="gramEnd"/>
            <w:r w:rsidRPr="005E2E71">
              <w:rPr>
                <w:rFonts w:ascii="Arial" w:hAnsi="Arial" w:cs="Arial"/>
                <w:sz w:val="22"/>
                <w:szCs w:val="22"/>
              </w:rPr>
              <w:t xml:space="preserve"> and cultural influences on prescribing practice.</w:t>
            </w:r>
          </w:p>
        </w:tc>
        <w:tc>
          <w:tcPr>
            <w:tcW w:w="870" w:type="dxa"/>
            <w:shd w:val="clear" w:color="auto" w:fill="auto"/>
          </w:tcPr>
          <w:p w14:paraId="71565B27" w14:textId="77777777" w:rsidR="00F04905" w:rsidRPr="005E2E71" w:rsidRDefault="00F04905" w:rsidP="00F04905">
            <w:pPr>
              <w:rPr>
                <w:rFonts w:ascii="Arial" w:hAnsi="Arial" w:cs="Arial"/>
                <w:sz w:val="22"/>
                <w:szCs w:val="22"/>
              </w:rPr>
            </w:pPr>
            <w:r w:rsidRPr="005E2E71">
              <w:rPr>
                <w:rFonts w:ascii="Arial" w:hAnsi="Arial" w:cs="Arial"/>
                <w:sz w:val="22"/>
                <w:szCs w:val="22"/>
              </w:rPr>
              <w:t>B2</w:t>
            </w:r>
          </w:p>
        </w:tc>
        <w:tc>
          <w:tcPr>
            <w:tcW w:w="3877" w:type="dxa"/>
            <w:shd w:val="clear" w:color="auto" w:fill="auto"/>
          </w:tcPr>
          <w:p w14:paraId="18F3CDD3" w14:textId="7AA4F8BD" w:rsidR="00F04905" w:rsidRPr="005E2E71" w:rsidRDefault="00F04905" w:rsidP="00F04905">
            <w:pPr>
              <w:rPr>
                <w:rFonts w:ascii="Arial" w:hAnsi="Arial" w:cs="Arial"/>
                <w:sz w:val="22"/>
                <w:szCs w:val="22"/>
              </w:rPr>
            </w:pPr>
            <w:r w:rsidRPr="005E2E71">
              <w:rPr>
                <w:rFonts w:ascii="Arial" w:hAnsi="Arial" w:cs="Arial"/>
                <w:sz w:val="22"/>
                <w:szCs w:val="22"/>
              </w:rPr>
              <w:t xml:space="preserve">synthesise and integrate diverse and contradictory contemporary sources, </w:t>
            </w:r>
            <w:proofErr w:type="gramStart"/>
            <w:r w:rsidRPr="005E2E71">
              <w:rPr>
                <w:rFonts w:ascii="Arial" w:hAnsi="Arial" w:cs="Arial"/>
                <w:sz w:val="22"/>
                <w:szCs w:val="22"/>
              </w:rPr>
              <w:t>evidence</w:t>
            </w:r>
            <w:proofErr w:type="gramEnd"/>
            <w:r w:rsidRPr="005E2E71">
              <w:rPr>
                <w:rFonts w:ascii="Arial" w:hAnsi="Arial" w:cs="Arial"/>
                <w:sz w:val="22"/>
                <w:szCs w:val="22"/>
              </w:rPr>
              <w:t xml:space="preserve"> and concepts.</w:t>
            </w:r>
          </w:p>
          <w:p w14:paraId="5C2BC56F" w14:textId="77777777" w:rsidR="00F04905" w:rsidRPr="005E2E71" w:rsidRDefault="00F04905" w:rsidP="00F04905">
            <w:pPr>
              <w:rPr>
                <w:rFonts w:ascii="Arial" w:hAnsi="Arial" w:cs="Arial"/>
                <w:sz w:val="22"/>
                <w:szCs w:val="22"/>
              </w:rPr>
            </w:pPr>
          </w:p>
        </w:tc>
        <w:tc>
          <w:tcPr>
            <w:tcW w:w="883" w:type="dxa"/>
            <w:shd w:val="clear" w:color="auto" w:fill="auto"/>
          </w:tcPr>
          <w:p w14:paraId="16420C7E" w14:textId="77777777" w:rsidR="00F04905" w:rsidRPr="005E2E71" w:rsidRDefault="00F04905" w:rsidP="00F04905">
            <w:pPr>
              <w:rPr>
                <w:rFonts w:ascii="Arial" w:hAnsi="Arial" w:cs="Arial"/>
                <w:sz w:val="22"/>
                <w:szCs w:val="22"/>
              </w:rPr>
            </w:pPr>
            <w:r w:rsidRPr="005E2E71">
              <w:rPr>
                <w:rFonts w:ascii="Arial" w:hAnsi="Arial" w:cs="Arial"/>
                <w:sz w:val="22"/>
                <w:szCs w:val="22"/>
              </w:rPr>
              <w:t>C2</w:t>
            </w:r>
          </w:p>
        </w:tc>
        <w:tc>
          <w:tcPr>
            <w:tcW w:w="4860" w:type="dxa"/>
            <w:shd w:val="clear" w:color="auto" w:fill="auto"/>
          </w:tcPr>
          <w:p w14:paraId="7EE5F717" w14:textId="0EE354B1" w:rsidR="00F04905" w:rsidRPr="005E2E71" w:rsidRDefault="00F04905" w:rsidP="00F04905">
            <w:pPr>
              <w:rPr>
                <w:rFonts w:ascii="Arial" w:hAnsi="Arial" w:cs="Arial"/>
                <w:sz w:val="22"/>
                <w:szCs w:val="22"/>
              </w:rPr>
            </w:pPr>
            <w:r w:rsidRPr="005E2E71">
              <w:rPr>
                <w:rFonts w:ascii="Arial" w:hAnsi="Arial" w:cs="Arial"/>
                <w:sz w:val="22"/>
                <w:szCs w:val="22"/>
              </w:rPr>
              <w:t xml:space="preserve">self-direct their own personal and professional development, based on the application of critical enquiry, reflective </w:t>
            </w:r>
            <w:proofErr w:type="gramStart"/>
            <w:r w:rsidRPr="005E2E71">
              <w:rPr>
                <w:rFonts w:ascii="Arial" w:hAnsi="Arial" w:cs="Arial"/>
                <w:sz w:val="22"/>
                <w:szCs w:val="22"/>
              </w:rPr>
              <w:t>practice</w:t>
            </w:r>
            <w:proofErr w:type="gramEnd"/>
            <w:r w:rsidRPr="005E2E71">
              <w:rPr>
                <w:rFonts w:ascii="Arial" w:hAnsi="Arial" w:cs="Arial"/>
                <w:sz w:val="22"/>
                <w:szCs w:val="22"/>
              </w:rPr>
              <w:t xml:space="preserve"> and appraisal of evidence.</w:t>
            </w:r>
          </w:p>
        </w:tc>
      </w:tr>
      <w:tr w:rsidR="00F04905" w:rsidRPr="005E2E71" w14:paraId="1FEA2C83" w14:textId="77777777" w:rsidTr="00306D52">
        <w:tc>
          <w:tcPr>
            <w:tcW w:w="803" w:type="dxa"/>
            <w:shd w:val="clear" w:color="auto" w:fill="auto"/>
          </w:tcPr>
          <w:p w14:paraId="13AF7B99" w14:textId="77777777" w:rsidR="00F04905" w:rsidRPr="005E2E71" w:rsidRDefault="00F04905" w:rsidP="00F04905">
            <w:pPr>
              <w:rPr>
                <w:rFonts w:ascii="Arial" w:hAnsi="Arial" w:cs="Arial"/>
                <w:sz w:val="22"/>
                <w:szCs w:val="22"/>
              </w:rPr>
            </w:pPr>
            <w:r w:rsidRPr="005E2E71">
              <w:rPr>
                <w:rFonts w:ascii="Arial" w:hAnsi="Arial" w:cs="Arial"/>
                <w:sz w:val="22"/>
                <w:szCs w:val="22"/>
              </w:rPr>
              <w:t>A3</w:t>
            </w:r>
          </w:p>
        </w:tc>
        <w:tc>
          <w:tcPr>
            <w:tcW w:w="3833" w:type="dxa"/>
            <w:shd w:val="clear" w:color="auto" w:fill="auto"/>
          </w:tcPr>
          <w:p w14:paraId="4E2561AA" w14:textId="47053E36" w:rsidR="00F04905" w:rsidRPr="005E2E71" w:rsidRDefault="00091859" w:rsidP="00F04905">
            <w:pPr>
              <w:rPr>
                <w:rFonts w:ascii="Arial" w:hAnsi="Arial" w:cs="Arial"/>
                <w:sz w:val="22"/>
                <w:szCs w:val="22"/>
              </w:rPr>
            </w:pPr>
            <w:r w:rsidRPr="005E2E71">
              <w:rPr>
                <w:rFonts w:ascii="Arial" w:hAnsi="Arial" w:cs="Arial"/>
                <w:sz w:val="22"/>
                <w:szCs w:val="22"/>
              </w:rPr>
              <w:t xml:space="preserve">the wider ethical, </w:t>
            </w:r>
            <w:proofErr w:type="gramStart"/>
            <w:r w:rsidRPr="005E2E71">
              <w:rPr>
                <w:rFonts w:ascii="Arial" w:hAnsi="Arial" w:cs="Arial"/>
                <w:sz w:val="22"/>
                <w:szCs w:val="22"/>
              </w:rPr>
              <w:t>legal</w:t>
            </w:r>
            <w:proofErr w:type="gramEnd"/>
            <w:r w:rsidRPr="005E2E71">
              <w:rPr>
                <w:rFonts w:ascii="Arial" w:hAnsi="Arial" w:cs="Arial"/>
                <w:sz w:val="22"/>
                <w:szCs w:val="22"/>
              </w:rPr>
              <w:t xml:space="preserve"> and professional perspectives to prescribing practice.</w:t>
            </w:r>
          </w:p>
        </w:tc>
        <w:tc>
          <w:tcPr>
            <w:tcW w:w="870" w:type="dxa"/>
            <w:shd w:val="clear" w:color="auto" w:fill="auto"/>
          </w:tcPr>
          <w:p w14:paraId="0B20A2BC" w14:textId="77777777" w:rsidR="00F04905" w:rsidRPr="005E2E71" w:rsidRDefault="00F04905" w:rsidP="00F04905">
            <w:pPr>
              <w:rPr>
                <w:rFonts w:ascii="Arial" w:hAnsi="Arial" w:cs="Arial"/>
                <w:sz w:val="22"/>
                <w:szCs w:val="22"/>
              </w:rPr>
            </w:pPr>
            <w:r w:rsidRPr="005E2E71">
              <w:rPr>
                <w:rFonts w:ascii="Arial" w:hAnsi="Arial" w:cs="Arial"/>
                <w:sz w:val="22"/>
                <w:szCs w:val="22"/>
              </w:rPr>
              <w:t>B3</w:t>
            </w:r>
          </w:p>
        </w:tc>
        <w:tc>
          <w:tcPr>
            <w:tcW w:w="3877" w:type="dxa"/>
            <w:shd w:val="clear" w:color="auto" w:fill="auto"/>
          </w:tcPr>
          <w:p w14:paraId="3ADE238B" w14:textId="67DC3E88" w:rsidR="00F04905" w:rsidRPr="005E2E71" w:rsidRDefault="00F04905" w:rsidP="00F04905">
            <w:pPr>
              <w:rPr>
                <w:rFonts w:ascii="Arial" w:hAnsi="Arial" w:cs="Arial"/>
                <w:sz w:val="22"/>
                <w:szCs w:val="22"/>
              </w:rPr>
            </w:pPr>
          </w:p>
        </w:tc>
        <w:tc>
          <w:tcPr>
            <w:tcW w:w="883" w:type="dxa"/>
            <w:shd w:val="clear" w:color="auto" w:fill="auto"/>
          </w:tcPr>
          <w:p w14:paraId="770667BB" w14:textId="77777777" w:rsidR="00F04905" w:rsidRPr="005E2E71" w:rsidRDefault="00F04905" w:rsidP="00F04905">
            <w:pPr>
              <w:rPr>
                <w:rFonts w:ascii="Arial" w:hAnsi="Arial" w:cs="Arial"/>
                <w:sz w:val="22"/>
                <w:szCs w:val="22"/>
              </w:rPr>
            </w:pPr>
            <w:r w:rsidRPr="005E2E71">
              <w:rPr>
                <w:rFonts w:ascii="Arial" w:hAnsi="Arial" w:cs="Arial"/>
                <w:sz w:val="22"/>
                <w:szCs w:val="22"/>
              </w:rPr>
              <w:t>C3</w:t>
            </w:r>
          </w:p>
        </w:tc>
        <w:tc>
          <w:tcPr>
            <w:tcW w:w="4860" w:type="dxa"/>
            <w:shd w:val="clear" w:color="auto" w:fill="auto"/>
          </w:tcPr>
          <w:p w14:paraId="4BC661C6" w14:textId="278DCF4D" w:rsidR="00F04905" w:rsidRPr="005E2E71" w:rsidRDefault="00F04905" w:rsidP="00F04905">
            <w:pPr>
              <w:rPr>
                <w:rFonts w:ascii="Arial" w:hAnsi="Arial" w:cs="Arial"/>
                <w:sz w:val="22"/>
                <w:szCs w:val="22"/>
              </w:rPr>
            </w:pPr>
            <w:r w:rsidRPr="005E2E71">
              <w:rPr>
                <w:rFonts w:ascii="Arial" w:hAnsi="Arial" w:cs="Arial"/>
                <w:sz w:val="22"/>
                <w:szCs w:val="22"/>
              </w:rPr>
              <w:t>act as a professional role model, working effectively and collaboratively to lead and develop others</w:t>
            </w:r>
            <w:r w:rsidR="00DF50D4" w:rsidRPr="005E2E71">
              <w:rPr>
                <w:rFonts w:ascii="Arial" w:hAnsi="Arial" w:cs="Arial"/>
                <w:sz w:val="22"/>
                <w:szCs w:val="22"/>
              </w:rPr>
              <w:t xml:space="preserve"> </w:t>
            </w:r>
            <w:proofErr w:type="gramStart"/>
            <w:r w:rsidR="00DF50D4" w:rsidRPr="005E2E71">
              <w:rPr>
                <w:rFonts w:ascii="Arial" w:hAnsi="Arial" w:cs="Arial"/>
                <w:sz w:val="22"/>
                <w:szCs w:val="22"/>
              </w:rPr>
              <w:t>in the area of</w:t>
            </w:r>
            <w:proofErr w:type="gramEnd"/>
            <w:r w:rsidR="00DF50D4" w:rsidRPr="005E2E71">
              <w:rPr>
                <w:rFonts w:ascii="Arial" w:hAnsi="Arial" w:cs="Arial"/>
                <w:sz w:val="22"/>
                <w:szCs w:val="22"/>
              </w:rPr>
              <w:t xml:space="preserve"> prescribing practice</w:t>
            </w:r>
            <w:r w:rsidRPr="005E2E71">
              <w:rPr>
                <w:rFonts w:ascii="Arial" w:hAnsi="Arial" w:cs="Arial"/>
                <w:sz w:val="22"/>
                <w:szCs w:val="22"/>
              </w:rPr>
              <w:t xml:space="preserve">. </w:t>
            </w:r>
          </w:p>
          <w:p w14:paraId="14A1D80D" w14:textId="77777777" w:rsidR="00F04905" w:rsidRPr="005E2E71" w:rsidRDefault="00F04905" w:rsidP="00F04905">
            <w:pPr>
              <w:rPr>
                <w:rFonts w:ascii="Arial" w:hAnsi="Arial" w:cs="Arial"/>
                <w:sz w:val="22"/>
                <w:szCs w:val="22"/>
              </w:rPr>
            </w:pPr>
          </w:p>
        </w:tc>
      </w:tr>
      <w:tr w:rsidR="00F04905" w:rsidRPr="005E2E71" w14:paraId="5213A7C6" w14:textId="77777777" w:rsidTr="00306D52">
        <w:tc>
          <w:tcPr>
            <w:tcW w:w="803" w:type="dxa"/>
            <w:shd w:val="clear" w:color="auto" w:fill="auto"/>
          </w:tcPr>
          <w:p w14:paraId="75BA637F" w14:textId="77777777" w:rsidR="00F04905" w:rsidRPr="005E2E71" w:rsidRDefault="00F04905" w:rsidP="00F04905">
            <w:pPr>
              <w:rPr>
                <w:rFonts w:ascii="Arial" w:hAnsi="Arial" w:cs="Arial"/>
                <w:sz w:val="22"/>
                <w:szCs w:val="22"/>
              </w:rPr>
            </w:pPr>
            <w:r w:rsidRPr="005E2E71">
              <w:rPr>
                <w:rFonts w:ascii="Arial" w:hAnsi="Arial" w:cs="Arial"/>
                <w:sz w:val="22"/>
                <w:szCs w:val="22"/>
              </w:rPr>
              <w:t>A4</w:t>
            </w:r>
          </w:p>
        </w:tc>
        <w:tc>
          <w:tcPr>
            <w:tcW w:w="3833" w:type="dxa"/>
            <w:shd w:val="clear" w:color="auto" w:fill="auto"/>
          </w:tcPr>
          <w:p w14:paraId="0A87EB09" w14:textId="77777777" w:rsidR="00F04905" w:rsidRPr="005E2E71" w:rsidRDefault="00F04905" w:rsidP="00F04905">
            <w:pPr>
              <w:rPr>
                <w:rFonts w:ascii="Arial" w:hAnsi="Arial" w:cs="Arial"/>
                <w:sz w:val="22"/>
                <w:szCs w:val="22"/>
              </w:rPr>
            </w:pPr>
          </w:p>
        </w:tc>
        <w:tc>
          <w:tcPr>
            <w:tcW w:w="870" w:type="dxa"/>
            <w:shd w:val="clear" w:color="auto" w:fill="auto"/>
          </w:tcPr>
          <w:p w14:paraId="1B508154" w14:textId="77777777" w:rsidR="00F04905" w:rsidRPr="005E2E71" w:rsidRDefault="00F04905" w:rsidP="00F04905">
            <w:pPr>
              <w:rPr>
                <w:rFonts w:ascii="Arial" w:hAnsi="Arial" w:cs="Arial"/>
                <w:sz w:val="22"/>
                <w:szCs w:val="22"/>
              </w:rPr>
            </w:pPr>
            <w:r w:rsidRPr="005E2E71">
              <w:rPr>
                <w:rFonts w:ascii="Arial" w:hAnsi="Arial" w:cs="Arial"/>
                <w:sz w:val="22"/>
                <w:szCs w:val="22"/>
              </w:rPr>
              <w:t>B4</w:t>
            </w:r>
          </w:p>
        </w:tc>
        <w:tc>
          <w:tcPr>
            <w:tcW w:w="3877" w:type="dxa"/>
            <w:shd w:val="clear" w:color="auto" w:fill="auto"/>
          </w:tcPr>
          <w:p w14:paraId="553D4959" w14:textId="4B2BBC1B" w:rsidR="00F04905" w:rsidRPr="005E2E71" w:rsidRDefault="00F04905" w:rsidP="00F04905">
            <w:pPr>
              <w:rPr>
                <w:rFonts w:ascii="Arial" w:hAnsi="Arial" w:cs="Arial"/>
                <w:sz w:val="22"/>
                <w:szCs w:val="22"/>
              </w:rPr>
            </w:pPr>
          </w:p>
        </w:tc>
        <w:tc>
          <w:tcPr>
            <w:tcW w:w="883" w:type="dxa"/>
            <w:shd w:val="clear" w:color="auto" w:fill="auto"/>
          </w:tcPr>
          <w:p w14:paraId="2B33C8CE" w14:textId="77777777" w:rsidR="00F04905" w:rsidRPr="005E2E71" w:rsidRDefault="00F04905" w:rsidP="00F04905">
            <w:pPr>
              <w:rPr>
                <w:rFonts w:ascii="Arial" w:hAnsi="Arial" w:cs="Arial"/>
                <w:sz w:val="22"/>
                <w:szCs w:val="22"/>
              </w:rPr>
            </w:pPr>
            <w:r w:rsidRPr="005E2E71">
              <w:rPr>
                <w:rFonts w:ascii="Arial" w:hAnsi="Arial" w:cs="Arial"/>
                <w:sz w:val="22"/>
                <w:szCs w:val="22"/>
              </w:rPr>
              <w:t>C4</w:t>
            </w:r>
          </w:p>
        </w:tc>
        <w:tc>
          <w:tcPr>
            <w:tcW w:w="4860" w:type="dxa"/>
            <w:shd w:val="clear" w:color="auto" w:fill="auto"/>
          </w:tcPr>
          <w:p w14:paraId="7CAB48C5" w14:textId="488B8389" w:rsidR="00F04905" w:rsidRPr="005E2E71" w:rsidRDefault="00F04905" w:rsidP="00F04905">
            <w:pPr>
              <w:rPr>
                <w:rFonts w:ascii="Arial" w:hAnsi="Arial" w:cs="Arial"/>
                <w:sz w:val="22"/>
                <w:szCs w:val="22"/>
              </w:rPr>
            </w:pPr>
            <w:r w:rsidRPr="005E2E71">
              <w:rPr>
                <w:rFonts w:ascii="Arial" w:hAnsi="Arial" w:cs="Arial"/>
                <w:sz w:val="22"/>
                <w:szCs w:val="22"/>
              </w:rPr>
              <w:t xml:space="preserve">reconcile uncertainty, </w:t>
            </w:r>
            <w:proofErr w:type="gramStart"/>
            <w:r w:rsidRPr="005E2E71">
              <w:rPr>
                <w:rFonts w:ascii="Arial" w:hAnsi="Arial" w:cs="Arial"/>
                <w:sz w:val="22"/>
                <w:szCs w:val="22"/>
              </w:rPr>
              <w:t>constraints</w:t>
            </w:r>
            <w:proofErr w:type="gramEnd"/>
            <w:r w:rsidRPr="005E2E71">
              <w:rPr>
                <w:rFonts w:ascii="Arial" w:hAnsi="Arial" w:cs="Arial"/>
                <w:sz w:val="22"/>
                <w:szCs w:val="22"/>
              </w:rPr>
              <w:t xml:space="preserve"> and dilemmas within the unpredictable and changing context of pr</w:t>
            </w:r>
            <w:r w:rsidR="00DC5DD7" w:rsidRPr="005E2E71">
              <w:rPr>
                <w:rFonts w:ascii="Arial" w:hAnsi="Arial" w:cs="Arial"/>
                <w:sz w:val="22"/>
                <w:szCs w:val="22"/>
              </w:rPr>
              <w:t>escribing</w:t>
            </w:r>
            <w:r w:rsidRPr="005E2E71">
              <w:rPr>
                <w:rFonts w:ascii="Arial" w:hAnsi="Arial" w:cs="Arial"/>
                <w:sz w:val="22"/>
                <w:szCs w:val="22"/>
              </w:rPr>
              <w:t xml:space="preserve"> practice.</w:t>
            </w:r>
          </w:p>
        </w:tc>
      </w:tr>
      <w:tr w:rsidR="00F04905" w:rsidRPr="005E2E71" w14:paraId="198E226B" w14:textId="77777777" w:rsidTr="00306D52">
        <w:tc>
          <w:tcPr>
            <w:tcW w:w="803" w:type="dxa"/>
            <w:shd w:val="clear" w:color="auto" w:fill="auto"/>
          </w:tcPr>
          <w:p w14:paraId="57183AA8" w14:textId="77777777" w:rsidR="00F04905" w:rsidRPr="005E2E71" w:rsidRDefault="00F04905" w:rsidP="00F04905">
            <w:pPr>
              <w:rPr>
                <w:rFonts w:ascii="Arial" w:hAnsi="Arial" w:cs="Arial"/>
                <w:sz w:val="22"/>
                <w:szCs w:val="22"/>
              </w:rPr>
            </w:pPr>
          </w:p>
        </w:tc>
        <w:tc>
          <w:tcPr>
            <w:tcW w:w="3833" w:type="dxa"/>
            <w:shd w:val="clear" w:color="auto" w:fill="auto"/>
          </w:tcPr>
          <w:p w14:paraId="578F362B" w14:textId="77777777" w:rsidR="00F04905" w:rsidRPr="005E2E71" w:rsidRDefault="00F04905" w:rsidP="00F04905">
            <w:pPr>
              <w:rPr>
                <w:rFonts w:ascii="Arial" w:hAnsi="Arial" w:cs="Arial"/>
                <w:sz w:val="22"/>
                <w:szCs w:val="22"/>
              </w:rPr>
            </w:pPr>
          </w:p>
        </w:tc>
        <w:tc>
          <w:tcPr>
            <w:tcW w:w="870" w:type="dxa"/>
            <w:shd w:val="clear" w:color="auto" w:fill="auto"/>
          </w:tcPr>
          <w:p w14:paraId="2C1DE21E" w14:textId="77777777" w:rsidR="00F04905" w:rsidRPr="005E2E71" w:rsidRDefault="00F04905" w:rsidP="00F04905">
            <w:pPr>
              <w:rPr>
                <w:rFonts w:ascii="Arial" w:hAnsi="Arial" w:cs="Arial"/>
                <w:sz w:val="22"/>
                <w:szCs w:val="22"/>
              </w:rPr>
            </w:pPr>
          </w:p>
        </w:tc>
        <w:tc>
          <w:tcPr>
            <w:tcW w:w="3877" w:type="dxa"/>
            <w:shd w:val="clear" w:color="auto" w:fill="auto"/>
          </w:tcPr>
          <w:p w14:paraId="11787237" w14:textId="77777777" w:rsidR="00F04905" w:rsidRPr="005E2E71" w:rsidRDefault="00F04905" w:rsidP="00F04905">
            <w:pPr>
              <w:rPr>
                <w:rFonts w:ascii="Arial" w:hAnsi="Arial" w:cs="Arial"/>
                <w:sz w:val="22"/>
                <w:szCs w:val="22"/>
              </w:rPr>
            </w:pPr>
          </w:p>
        </w:tc>
        <w:tc>
          <w:tcPr>
            <w:tcW w:w="883" w:type="dxa"/>
            <w:shd w:val="clear" w:color="auto" w:fill="auto"/>
          </w:tcPr>
          <w:p w14:paraId="54C26F3D" w14:textId="77777777" w:rsidR="00F04905" w:rsidRPr="005E2E71" w:rsidRDefault="00F04905" w:rsidP="00F04905">
            <w:pPr>
              <w:rPr>
                <w:rFonts w:ascii="Arial" w:hAnsi="Arial" w:cs="Arial"/>
                <w:sz w:val="22"/>
                <w:szCs w:val="22"/>
              </w:rPr>
            </w:pPr>
            <w:r w:rsidRPr="005E2E71">
              <w:rPr>
                <w:rFonts w:ascii="Arial" w:hAnsi="Arial" w:cs="Arial"/>
                <w:sz w:val="22"/>
                <w:szCs w:val="22"/>
              </w:rPr>
              <w:t>C5</w:t>
            </w:r>
          </w:p>
        </w:tc>
        <w:tc>
          <w:tcPr>
            <w:tcW w:w="4860" w:type="dxa"/>
            <w:shd w:val="clear" w:color="auto" w:fill="auto"/>
          </w:tcPr>
          <w:p w14:paraId="42324709" w14:textId="36BB18E6" w:rsidR="00F04905" w:rsidRPr="005E2E71" w:rsidRDefault="00F04905" w:rsidP="00F04905">
            <w:pPr>
              <w:rPr>
                <w:rFonts w:ascii="Arial" w:hAnsi="Arial" w:cs="Arial"/>
                <w:sz w:val="22"/>
                <w:szCs w:val="22"/>
              </w:rPr>
            </w:pPr>
            <w:r w:rsidRPr="005E2E71">
              <w:rPr>
                <w:rFonts w:ascii="Arial" w:hAnsi="Arial" w:cs="Arial"/>
                <w:sz w:val="22"/>
                <w:szCs w:val="22"/>
              </w:rPr>
              <w:t xml:space="preserve">contribute to development and transformation of services, new </w:t>
            </w:r>
            <w:proofErr w:type="gramStart"/>
            <w:r w:rsidRPr="005E2E71">
              <w:rPr>
                <w:rFonts w:ascii="Arial" w:hAnsi="Arial" w:cs="Arial"/>
                <w:sz w:val="22"/>
                <w:szCs w:val="22"/>
              </w:rPr>
              <w:t>roles</w:t>
            </w:r>
            <w:proofErr w:type="gramEnd"/>
            <w:r w:rsidRPr="005E2E71">
              <w:rPr>
                <w:rFonts w:ascii="Arial" w:hAnsi="Arial" w:cs="Arial"/>
                <w:sz w:val="22"/>
                <w:szCs w:val="22"/>
              </w:rPr>
              <w:t xml:space="preserve"> and ways of working to meet changing workforce needs</w:t>
            </w:r>
            <w:r w:rsidR="00DF50D4" w:rsidRPr="005E2E71">
              <w:rPr>
                <w:rFonts w:ascii="Arial" w:hAnsi="Arial" w:cs="Arial"/>
                <w:sz w:val="22"/>
                <w:szCs w:val="22"/>
              </w:rPr>
              <w:t xml:space="preserve"> relating to prescribing</w:t>
            </w:r>
            <w:r w:rsidRPr="005E2E71">
              <w:rPr>
                <w:rFonts w:ascii="Arial" w:hAnsi="Arial" w:cs="Arial"/>
                <w:sz w:val="22"/>
                <w:szCs w:val="22"/>
              </w:rPr>
              <w:t>.</w:t>
            </w:r>
          </w:p>
          <w:p w14:paraId="1DDBEFE0" w14:textId="77777777" w:rsidR="00F04905" w:rsidRPr="005E2E71" w:rsidRDefault="00F04905" w:rsidP="00F04905">
            <w:pPr>
              <w:rPr>
                <w:rFonts w:ascii="Arial" w:hAnsi="Arial" w:cs="Arial"/>
                <w:sz w:val="22"/>
                <w:szCs w:val="22"/>
              </w:rPr>
            </w:pPr>
          </w:p>
        </w:tc>
      </w:tr>
      <w:tr w:rsidR="00F04905" w:rsidRPr="005E2E71" w14:paraId="07D85530" w14:textId="77777777" w:rsidTr="00306D52">
        <w:tc>
          <w:tcPr>
            <w:tcW w:w="803" w:type="dxa"/>
            <w:shd w:val="clear" w:color="auto" w:fill="auto"/>
          </w:tcPr>
          <w:p w14:paraId="7CCB25A1" w14:textId="77777777" w:rsidR="00F04905" w:rsidRPr="005E2E71" w:rsidRDefault="00F04905" w:rsidP="00F04905">
            <w:pPr>
              <w:rPr>
                <w:rFonts w:ascii="Arial" w:hAnsi="Arial" w:cs="Arial"/>
                <w:sz w:val="22"/>
                <w:szCs w:val="22"/>
              </w:rPr>
            </w:pPr>
          </w:p>
        </w:tc>
        <w:tc>
          <w:tcPr>
            <w:tcW w:w="3833" w:type="dxa"/>
            <w:shd w:val="clear" w:color="auto" w:fill="auto"/>
          </w:tcPr>
          <w:p w14:paraId="186F8BA0" w14:textId="77777777" w:rsidR="00F04905" w:rsidRPr="005E2E71" w:rsidRDefault="00F04905" w:rsidP="00F04905">
            <w:pPr>
              <w:rPr>
                <w:rFonts w:ascii="Arial" w:hAnsi="Arial" w:cs="Arial"/>
                <w:sz w:val="22"/>
                <w:szCs w:val="22"/>
              </w:rPr>
            </w:pPr>
          </w:p>
        </w:tc>
        <w:tc>
          <w:tcPr>
            <w:tcW w:w="870" w:type="dxa"/>
            <w:shd w:val="clear" w:color="auto" w:fill="auto"/>
          </w:tcPr>
          <w:p w14:paraId="0A4C2F9A" w14:textId="77777777" w:rsidR="00F04905" w:rsidRPr="005E2E71" w:rsidRDefault="00F04905" w:rsidP="00F04905">
            <w:pPr>
              <w:rPr>
                <w:rFonts w:ascii="Arial" w:hAnsi="Arial" w:cs="Arial"/>
                <w:sz w:val="22"/>
                <w:szCs w:val="22"/>
              </w:rPr>
            </w:pPr>
          </w:p>
        </w:tc>
        <w:tc>
          <w:tcPr>
            <w:tcW w:w="3877" w:type="dxa"/>
            <w:shd w:val="clear" w:color="auto" w:fill="auto"/>
          </w:tcPr>
          <w:p w14:paraId="27CADC72" w14:textId="77777777" w:rsidR="00F04905" w:rsidRPr="005E2E71" w:rsidRDefault="00F04905" w:rsidP="00F04905">
            <w:pPr>
              <w:rPr>
                <w:rFonts w:ascii="Arial" w:hAnsi="Arial" w:cs="Arial"/>
                <w:sz w:val="22"/>
                <w:szCs w:val="22"/>
              </w:rPr>
            </w:pPr>
          </w:p>
        </w:tc>
        <w:tc>
          <w:tcPr>
            <w:tcW w:w="883" w:type="dxa"/>
            <w:shd w:val="clear" w:color="auto" w:fill="auto"/>
          </w:tcPr>
          <w:p w14:paraId="2C77CF6A" w14:textId="77777777" w:rsidR="00F04905" w:rsidRPr="005E2E71" w:rsidRDefault="00F04905" w:rsidP="00F04905">
            <w:pPr>
              <w:rPr>
                <w:rFonts w:ascii="Arial" w:hAnsi="Arial" w:cs="Arial"/>
                <w:sz w:val="22"/>
                <w:szCs w:val="22"/>
              </w:rPr>
            </w:pPr>
            <w:r w:rsidRPr="005E2E71">
              <w:rPr>
                <w:rFonts w:ascii="Arial" w:hAnsi="Arial" w:cs="Arial"/>
                <w:sz w:val="22"/>
                <w:szCs w:val="22"/>
              </w:rPr>
              <w:t>C6</w:t>
            </w:r>
          </w:p>
        </w:tc>
        <w:tc>
          <w:tcPr>
            <w:tcW w:w="4860" w:type="dxa"/>
            <w:shd w:val="clear" w:color="auto" w:fill="auto"/>
          </w:tcPr>
          <w:p w14:paraId="0B5CF2B9" w14:textId="44C623A2" w:rsidR="00F04905" w:rsidRPr="005E2E71" w:rsidRDefault="00F04905" w:rsidP="00F04905">
            <w:pPr>
              <w:rPr>
                <w:rFonts w:ascii="Arial" w:hAnsi="Arial" w:cs="Arial"/>
                <w:sz w:val="22"/>
                <w:szCs w:val="22"/>
              </w:rPr>
            </w:pPr>
            <w:r w:rsidRPr="005E2E71">
              <w:rPr>
                <w:rFonts w:ascii="Arial" w:hAnsi="Arial" w:cs="Arial"/>
                <w:sz w:val="22"/>
                <w:szCs w:val="22"/>
              </w:rPr>
              <w:t xml:space="preserve">apply advanced </w:t>
            </w:r>
            <w:r w:rsidR="00DF50D4" w:rsidRPr="005E2E71">
              <w:rPr>
                <w:rFonts w:ascii="Arial" w:hAnsi="Arial" w:cs="Arial"/>
                <w:sz w:val="22"/>
                <w:szCs w:val="22"/>
              </w:rPr>
              <w:t xml:space="preserve">clinical </w:t>
            </w:r>
            <w:r w:rsidRPr="005E2E71">
              <w:rPr>
                <w:rFonts w:ascii="Arial" w:hAnsi="Arial" w:cs="Arial"/>
                <w:sz w:val="22"/>
                <w:szCs w:val="22"/>
              </w:rPr>
              <w:t>skills t</w:t>
            </w:r>
            <w:r w:rsidR="00DC5DD7" w:rsidRPr="005E2E71">
              <w:rPr>
                <w:rFonts w:ascii="Arial" w:hAnsi="Arial" w:cs="Arial"/>
                <w:sz w:val="22"/>
                <w:szCs w:val="22"/>
              </w:rPr>
              <w:t>o health consultation</w:t>
            </w:r>
            <w:r w:rsidR="00DF50D4" w:rsidRPr="005E2E71">
              <w:rPr>
                <w:rFonts w:ascii="Arial" w:hAnsi="Arial" w:cs="Arial"/>
                <w:sz w:val="22"/>
                <w:szCs w:val="22"/>
              </w:rPr>
              <w:t xml:space="preserve">, physical </w:t>
            </w:r>
            <w:proofErr w:type="gramStart"/>
            <w:r w:rsidR="00DF50D4" w:rsidRPr="005E2E71">
              <w:rPr>
                <w:rFonts w:ascii="Arial" w:hAnsi="Arial" w:cs="Arial"/>
                <w:sz w:val="22"/>
                <w:szCs w:val="22"/>
              </w:rPr>
              <w:t>assessment</w:t>
            </w:r>
            <w:proofErr w:type="gramEnd"/>
            <w:r w:rsidR="00DC5DD7" w:rsidRPr="005E2E71">
              <w:rPr>
                <w:rFonts w:ascii="Arial" w:hAnsi="Arial" w:cs="Arial"/>
                <w:sz w:val="22"/>
                <w:szCs w:val="22"/>
              </w:rPr>
              <w:t xml:space="preserve"> and prescribing practice</w:t>
            </w:r>
            <w:r w:rsidRPr="005E2E71">
              <w:rPr>
                <w:rFonts w:ascii="Arial" w:hAnsi="Arial" w:cs="Arial"/>
                <w:sz w:val="22"/>
                <w:szCs w:val="22"/>
              </w:rPr>
              <w:t>.</w:t>
            </w:r>
          </w:p>
        </w:tc>
      </w:tr>
    </w:tbl>
    <w:p w14:paraId="68EE4943" w14:textId="77777777" w:rsidR="00F04905" w:rsidRPr="005E2E71" w:rsidRDefault="00F04905" w:rsidP="00A92C9B">
      <w:pPr>
        <w:rPr>
          <w:rFonts w:ascii="Arial" w:hAnsi="Arial" w:cs="Arial"/>
          <w:sz w:val="22"/>
          <w:szCs w:val="22"/>
        </w:rPr>
      </w:pPr>
    </w:p>
    <w:p w14:paraId="3AD93923" w14:textId="77777777" w:rsidR="00DC5DD7" w:rsidRPr="005E2E71" w:rsidRDefault="00DC5DD7" w:rsidP="00A92C9B">
      <w:pPr>
        <w:rPr>
          <w:rFonts w:ascii="Arial" w:hAnsi="Arial" w:cs="Arial"/>
          <w:sz w:val="22"/>
          <w:szCs w:val="22"/>
        </w:rPr>
      </w:pPr>
    </w:p>
    <w:p w14:paraId="479C922C" w14:textId="77777777" w:rsidR="00F04905" w:rsidRPr="005E2E71" w:rsidRDefault="00F04905" w:rsidP="00A92C9B">
      <w:pPr>
        <w:rPr>
          <w:rFonts w:ascii="Arial" w:hAnsi="Arial" w:cs="Arial"/>
          <w:sz w:val="22"/>
          <w:szCs w:val="22"/>
        </w:rPr>
      </w:pPr>
    </w:p>
    <w:p w14:paraId="75D84AA1" w14:textId="1D725E69" w:rsidR="00A92C9B" w:rsidRPr="005E2E71" w:rsidRDefault="00A92C9B" w:rsidP="00A92C9B">
      <w:pPr>
        <w:rPr>
          <w:rFonts w:ascii="Arial" w:hAnsi="Arial" w:cs="Arial"/>
          <w:sz w:val="22"/>
          <w:szCs w:val="22"/>
        </w:rPr>
      </w:pPr>
      <w:r w:rsidRPr="005E2E71">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5E2E71"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5E2E71" w14:paraId="37381F77" w14:textId="77777777" w:rsidTr="00AD72D1">
        <w:tc>
          <w:tcPr>
            <w:tcW w:w="15417" w:type="dxa"/>
            <w:gridSpan w:val="7"/>
            <w:shd w:val="clear" w:color="auto" w:fill="DBE5F1"/>
          </w:tcPr>
          <w:p w14:paraId="64F21C64" w14:textId="77777777" w:rsidR="00A92C9B" w:rsidRPr="005E2E71" w:rsidRDefault="00A92C9B" w:rsidP="00AD72D1">
            <w:pPr>
              <w:jc w:val="center"/>
              <w:rPr>
                <w:rFonts w:ascii="Arial" w:hAnsi="Arial" w:cs="Arial"/>
                <w:b/>
                <w:sz w:val="20"/>
                <w:szCs w:val="20"/>
              </w:rPr>
            </w:pPr>
            <w:r w:rsidRPr="005E2E71">
              <w:rPr>
                <w:rFonts w:ascii="Arial" w:hAnsi="Arial" w:cs="Arial"/>
                <w:b/>
                <w:sz w:val="20"/>
                <w:szCs w:val="20"/>
              </w:rPr>
              <w:t>Key Skills</w:t>
            </w:r>
          </w:p>
        </w:tc>
      </w:tr>
      <w:tr w:rsidR="00A92C9B" w:rsidRPr="005E2E71" w14:paraId="5B003838" w14:textId="77777777" w:rsidTr="00AD72D1">
        <w:tc>
          <w:tcPr>
            <w:tcW w:w="2202" w:type="dxa"/>
            <w:shd w:val="clear" w:color="auto" w:fill="DBE5F1"/>
          </w:tcPr>
          <w:p w14:paraId="7F1BEAB9" w14:textId="77777777" w:rsidR="00A92C9B" w:rsidRPr="005E2E71" w:rsidRDefault="00A92C9B" w:rsidP="00AD72D1">
            <w:pPr>
              <w:rPr>
                <w:rFonts w:ascii="Arial" w:hAnsi="Arial" w:cs="Arial"/>
                <w:b/>
                <w:sz w:val="20"/>
                <w:szCs w:val="20"/>
              </w:rPr>
            </w:pPr>
            <w:r w:rsidRPr="005E2E71">
              <w:rPr>
                <w:rFonts w:ascii="Arial" w:hAnsi="Arial" w:cs="Arial"/>
                <w:b/>
                <w:sz w:val="20"/>
                <w:szCs w:val="20"/>
              </w:rPr>
              <w:t>Self-Awareness Skills</w:t>
            </w:r>
          </w:p>
        </w:tc>
        <w:tc>
          <w:tcPr>
            <w:tcW w:w="2202" w:type="dxa"/>
            <w:shd w:val="clear" w:color="auto" w:fill="DBE5F1"/>
          </w:tcPr>
          <w:p w14:paraId="6D08BAE2" w14:textId="77777777" w:rsidR="00A92C9B" w:rsidRPr="005E2E71" w:rsidRDefault="00A92C9B" w:rsidP="00AD72D1">
            <w:pPr>
              <w:rPr>
                <w:rFonts w:ascii="Arial" w:hAnsi="Arial" w:cs="Arial"/>
                <w:b/>
                <w:sz w:val="20"/>
                <w:szCs w:val="20"/>
              </w:rPr>
            </w:pPr>
            <w:r w:rsidRPr="005E2E71">
              <w:rPr>
                <w:rFonts w:ascii="Arial" w:hAnsi="Arial" w:cs="Arial"/>
                <w:b/>
                <w:sz w:val="20"/>
                <w:szCs w:val="20"/>
              </w:rPr>
              <w:t>Communication Skills</w:t>
            </w:r>
          </w:p>
        </w:tc>
        <w:tc>
          <w:tcPr>
            <w:tcW w:w="2203" w:type="dxa"/>
            <w:shd w:val="clear" w:color="auto" w:fill="DBE5F1"/>
          </w:tcPr>
          <w:p w14:paraId="02F65DBA" w14:textId="77777777" w:rsidR="00A92C9B" w:rsidRPr="005E2E71" w:rsidRDefault="00A92C9B" w:rsidP="00AD72D1">
            <w:pPr>
              <w:rPr>
                <w:rFonts w:ascii="Arial" w:hAnsi="Arial" w:cs="Arial"/>
                <w:b/>
                <w:sz w:val="20"/>
                <w:szCs w:val="20"/>
              </w:rPr>
            </w:pPr>
            <w:r w:rsidRPr="005E2E71">
              <w:rPr>
                <w:rFonts w:ascii="Arial" w:hAnsi="Arial" w:cs="Arial"/>
                <w:b/>
                <w:sz w:val="20"/>
                <w:szCs w:val="20"/>
              </w:rPr>
              <w:t>Interpersonal Skills</w:t>
            </w:r>
          </w:p>
        </w:tc>
        <w:tc>
          <w:tcPr>
            <w:tcW w:w="2202" w:type="dxa"/>
            <w:shd w:val="clear" w:color="auto" w:fill="DBE5F1"/>
          </w:tcPr>
          <w:p w14:paraId="40765228" w14:textId="77777777" w:rsidR="00A92C9B" w:rsidRPr="005E2E71" w:rsidRDefault="00A92C9B" w:rsidP="00AD72D1">
            <w:pPr>
              <w:rPr>
                <w:rFonts w:ascii="Arial" w:hAnsi="Arial" w:cs="Arial"/>
                <w:b/>
                <w:sz w:val="20"/>
                <w:szCs w:val="20"/>
              </w:rPr>
            </w:pPr>
            <w:r w:rsidRPr="005E2E71">
              <w:rPr>
                <w:rFonts w:ascii="Arial" w:hAnsi="Arial" w:cs="Arial"/>
                <w:b/>
                <w:sz w:val="20"/>
                <w:szCs w:val="20"/>
              </w:rPr>
              <w:t>Research and information Literacy Skills</w:t>
            </w:r>
          </w:p>
        </w:tc>
        <w:tc>
          <w:tcPr>
            <w:tcW w:w="2203" w:type="dxa"/>
            <w:shd w:val="clear" w:color="auto" w:fill="DBE5F1"/>
          </w:tcPr>
          <w:p w14:paraId="163A9B1C" w14:textId="77777777" w:rsidR="00A92C9B" w:rsidRPr="005E2E71" w:rsidRDefault="00A92C9B" w:rsidP="00AD72D1">
            <w:pPr>
              <w:rPr>
                <w:rFonts w:ascii="Arial" w:hAnsi="Arial" w:cs="Arial"/>
                <w:b/>
                <w:sz w:val="20"/>
                <w:szCs w:val="20"/>
              </w:rPr>
            </w:pPr>
            <w:r w:rsidRPr="005E2E71">
              <w:rPr>
                <w:rFonts w:ascii="Arial" w:hAnsi="Arial" w:cs="Arial"/>
                <w:b/>
                <w:sz w:val="20"/>
                <w:szCs w:val="20"/>
              </w:rPr>
              <w:t>Numeracy Skills</w:t>
            </w:r>
          </w:p>
        </w:tc>
        <w:tc>
          <w:tcPr>
            <w:tcW w:w="2202" w:type="dxa"/>
            <w:shd w:val="clear" w:color="auto" w:fill="DBE5F1"/>
          </w:tcPr>
          <w:p w14:paraId="615D2BBB" w14:textId="77777777" w:rsidR="00A92C9B" w:rsidRPr="005E2E71" w:rsidRDefault="00A92C9B" w:rsidP="00AD72D1">
            <w:pPr>
              <w:rPr>
                <w:rFonts w:ascii="Arial" w:hAnsi="Arial" w:cs="Arial"/>
                <w:sz w:val="20"/>
                <w:szCs w:val="20"/>
              </w:rPr>
            </w:pPr>
            <w:r w:rsidRPr="005E2E71">
              <w:rPr>
                <w:rFonts w:ascii="Arial" w:hAnsi="Arial" w:cs="Arial"/>
                <w:b/>
                <w:sz w:val="20"/>
                <w:szCs w:val="20"/>
              </w:rPr>
              <w:t>Management &amp; Leadership Skills</w:t>
            </w:r>
          </w:p>
        </w:tc>
        <w:tc>
          <w:tcPr>
            <w:tcW w:w="2203" w:type="dxa"/>
            <w:shd w:val="clear" w:color="auto" w:fill="DBE5F1"/>
          </w:tcPr>
          <w:p w14:paraId="4E63855E" w14:textId="77777777" w:rsidR="00A92C9B" w:rsidRPr="005E2E71" w:rsidRDefault="00A92C9B" w:rsidP="00AD72D1">
            <w:pPr>
              <w:rPr>
                <w:rFonts w:ascii="Arial" w:hAnsi="Arial" w:cs="Arial"/>
                <w:b/>
                <w:sz w:val="20"/>
                <w:szCs w:val="20"/>
              </w:rPr>
            </w:pPr>
            <w:r w:rsidRPr="005E2E71">
              <w:rPr>
                <w:rFonts w:ascii="Arial" w:hAnsi="Arial" w:cs="Arial"/>
                <w:b/>
                <w:sz w:val="20"/>
                <w:szCs w:val="20"/>
              </w:rPr>
              <w:t xml:space="preserve">Creativity and </w:t>
            </w:r>
            <w:proofErr w:type="gramStart"/>
            <w:r w:rsidRPr="005E2E71">
              <w:rPr>
                <w:rFonts w:ascii="Arial" w:hAnsi="Arial" w:cs="Arial"/>
                <w:b/>
                <w:sz w:val="20"/>
                <w:szCs w:val="20"/>
              </w:rPr>
              <w:t>Problem Solving</w:t>
            </w:r>
            <w:proofErr w:type="gramEnd"/>
            <w:r w:rsidRPr="005E2E71">
              <w:rPr>
                <w:rFonts w:ascii="Arial" w:hAnsi="Arial" w:cs="Arial"/>
                <w:b/>
                <w:sz w:val="20"/>
                <w:szCs w:val="20"/>
              </w:rPr>
              <w:t xml:space="preserve"> Skills</w:t>
            </w:r>
          </w:p>
        </w:tc>
      </w:tr>
      <w:tr w:rsidR="00A92C9B" w:rsidRPr="005E2E71" w14:paraId="71250436" w14:textId="77777777" w:rsidTr="00AD72D1">
        <w:tc>
          <w:tcPr>
            <w:tcW w:w="2202" w:type="dxa"/>
            <w:shd w:val="clear" w:color="auto" w:fill="auto"/>
          </w:tcPr>
          <w:p w14:paraId="3279AAB7" w14:textId="77777777" w:rsidR="00A92C9B" w:rsidRPr="005E2E71" w:rsidRDefault="00A92C9B" w:rsidP="00AD72D1">
            <w:pPr>
              <w:rPr>
                <w:rFonts w:ascii="Arial" w:hAnsi="Arial" w:cs="Arial"/>
                <w:sz w:val="20"/>
                <w:szCs w:val="20"/>
              </w:rPr>
            </w:pPr>
            <w:r w:rsidRPr="005E2E71">
              <w:rPr>
                <w:rFonts w:ascii="Arial" w:hAnsi="Arial" w:cs="Arial"/>
                <w:sz w:val="20"/>
                <w:szCs w:val="20"/>
              </w:rPr>
              <w:t xml:space="preserve">Take responsibility </w:t>
            </w:r>
            <w:proofErr w:type="gramStart"/>
            <w:r w:rsidRPr="005E2E71">
              <w:rPr>
                <w:rFonts w:ascii="Arial" w:hAnsi="Arial" w:cs="Arial"/>
                <w:sz w:val="20"/>
                <w:szCs w:val="20"/>
              </w:rPr>
              <w:t>for  own</w:t>
            </w:r>
            <w:proofErr w:type="gramEnd"/>
            <w:r w:rsidRPr="005E2E7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5E2E71" w:rsidRDefault="00A92C9B" w:rsidP="00AD72D1">
            <w:pPr>
              <w:rPr>
                <w:rFonts w:ascii="Arial" w:hAnsi="Arial" w:cs="Arial"/>
                <w:sz w:val="20"/>
                <w:szCs w:val="20"/>
              </w:rPr>
            </w:pPr>
            <w:r w:rsidRPr="005E2E7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5E2E71" w:rsidRDefault="00A92C9B" w:rsidP="00AD72D1">
            <w:pPr>
              <w:rPr>
                <w:rFonts w:ascii="Arial" w:hAnsi="Arial" w:cs="Arial"/>
                <w:sz w:val="20"/>
                <w:szCs w:val="20"/>
              </w:rPr>
            </w:pPr>
            <w:r w:rsidRPr="005E2E71">
              <w:rPr>
                <w:rFonts w:ascii="Arial" w:hAnsi="Arial" w:cs="Arial"/>
                <w:sz w:val="20"/>
                <w:szCs w:val="20"/>
              </w:rPr>
              <w:t xml:space="preserve">Work </w:t>
            </w:r>
            <w:proofErr w:type="gramStart"/>
            <w:r w:rsidRPr="005E2E71">
              <w:rPr>
                <w:rFonts w:ascii="Arial" w:hAnsi="Arial" w:cs="Arial"/>
                <w:sz w:val="20"/>
                <w:szCs w:val="20"/>
              </w:rPr>
              <w:t>well  with</w:t>
            </w:r>
            <w:proofErr w:type="gramEnd"/>
            <w:r w:rsidRPr="005E2E71">
              <w:rPr>
                <w:rFonts w:ascii="Arial" w:hAnsi="Arial" w:cs="Arial"/>
                <w:sz w:val="20"/>
                <w:szCs w:val="20"/>
              </w:rPr>
              <w:t xml:space="preserve"> others in a group or team</w:t>
            </w:r>
          </w:p>
        </w:tc>
        <w:tc>
          <w:tcPr>
            <w:tcW w:w="2202" w:type="dxa"/>
            <w:shd w:val="clear" w:color="auto" w:fill="auto"/>
          </w:tcPr>
          <w:p w14:paraId="544CBA14" w14:textId="77777777" w:rsidR="00A92C9B" w:rsidRPr="005E2E71" w:rsidRDefault="00A92C9B" w:rsidP="00AD72D1">
            <w:pPr>
              <w:rPr>
                <w:rFonts w:ascii="Arial" w:hAnsi="Arial" w:cs="Arial"/>
                <w:sz w:val="20"/>
                <w:szCs w:val="20"/>
              </w:rPr>
            </w:pPr>
            <w:r w:rsidRPr="005E2E7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5E2E71" w:rsidRDefault="00A92C9B" w:rsidP="00AD72D1">
            <w:pPr>
              <w:rPr>
                <w:rFonts w:ascii="Arial" w:hAnsi="Arial" w:cs="Arial"/>
                <w:sz w:val="20"/>
                <w:szCs w:val="20"/>
              </w:rPr>
            </w:pPr>
            <w:r w:rsidRPr="005E2E7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5E2E71" w:rsidRDefault="00A92C9B" w:rsidP="00AD72D1">
            <w:pPr>
              <w:rPr>
                <w:rFonts w:ascii="Arial" w:hAnsi="Arial" w:cs="Arial"/>
                <w:sz w:val="20"/>
                <w:szCs w:val="20"/>
              </w:rPr>
            </w:pPr>
            <w:r w:rsidRPr="005E2E71">
              <w:rPr>
                <w:rFonts w:ascii="Arial" w:hAnsi="Arial" w:cs="Arial"/>
                <w:sz w:val="20"/>
                <w:szCs w:val="20"/>
              </w:rPr>
              <w:t>Determine the scope of a task (or project)</w:t>
            </w:r>
          </w:p>
        </w:tc>
        <w:tc>
          <w:tcPr>
            <w:tcW w:w="2203" w:type="dxa"/>
            <w:shd w:val="clear" w:color="auto" w:fill="auto"/>
          </w:tcPr>
          <w:p w14:paraId="026ED66F" w14:textId="77777777" w:rsidR="00A92C9B" w:rsidRPr="005E2E71" w:rsidRDefault="00A92C9B" w:rsidP="00AD72D1">
            <w:pPr>
              <w:rPr>
                <w:rFonts w:ascii="Arial" w:hAnsi="Arial" w:cs="Arial"/>
                <w:sz w:val="20"/>
                <w:szCs w:val="20"/>
              </w:rPr>
            </w:pPr>
            <w:r w:rsidRPr="005E2E71">
              <w:rPr>
                <w:rFonts w:ascii="Arial" w:hAnsi="Arial" w:cs="Arial"/>
                <w:sz w:val="20"/>
                <w:szCs w:val="20"/>
              </w:rPr>
              <w:t>Apply scientific and other knowledge to analyse and evaluate information and data and to find solutions to problems</w:t>
            </w:r>
          </w:p>
        </w:tc>
      </w:tr>
      <w:tr w:rsidR="00A92C9B" w:rsidRPr="005E2E71" w14:paraId="5DD589EB" w14:textId="77777777" w:rsidTr="00AD72D1">
        <w:tc>
          <w:tcPr>
            <w:tcW w:w="2202" w:type="dxa"/>
            <w:shd w:val="clear" w:color="auto" w:fill="auto"/>
          </w:tcPr>
          <w:p w14:paraId="341F8C0C" w14:textId="77777777" w:rsidR="00A92C9B" w:rsidRPr="005E2E71" w:rsidRDefault="00A92C9B" w:rsidP="00AD72D1">
            <w:pPr>
              <w:rPr>
                <w:rFonts w:ascii="Arial" w:hAnsi="Arial" w:cs="Arial"/>
                <w:sz w:val="20"/>
                <w:szCs w:val="20"/>
              </w:rPr>
            </w:pPr>
            <w:r w:rsidRPr="005E2E71">
              <w:rPr>
                <w:rFonts w:ascii="Arial" w:hAnsi="Arial" w:cs="Arial"/>
                <w:sz w:val="20"/>
                <w:szCs w:val="20"/>
              </w:rPr>
              <w:t xml:space="preserve">Recognise own academic strengths and weaknesses, reflect on </w:t>
            </w:r>
            <w:proofErr w:type="gramStart"/>
            <w:r w:rsidRPr="005E2E71">
              <w:rPr>
                <w:rFonts w:ascii="Arial" w:hAnsi="Arial" w:cs="Arial"/>
                <w:sz w:val="20"/>
                <w:szCs w:val="20"/>
              </w:rPr>
              <w:t>performance</w:t>
            </w:r>
            <w:proofErr w:type="gramEnd"/>
            <w:r w:rsidRPr="005E2E71">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5E2E71" w:rsidRDefault="00A92C9B" w:rsidP="00AD72D1">
            <w:pPr>
              <w:rPr>
                <w:rFonts w:ascii="Arial" w:hAnsi="Arial" w:cs="Arial"/>
                <w:sz w:val="20"/>
                <w:szCs w:val="20"/>
              </w:rPr>
            </w:pPr>
            <w:r w:rsidRPr="005E2E71">
              <w:rPr>
                <w:rFonts w:ascii="Arial" w:hAnsi="Arial" w:cs="Arial"/>
                <w:sz w:val="20"/>
                <w:szCs w:val="20"/>
              </w:rPr>
              <w:t xml:space="preserve">Present, challenge and </w:t>
            </w:r>
            <w:proofErr w:type="gramStart"/>
            <w:r w:rsidRPr="005E2E71">
              <w:rPr>
                <w:rFonts w:ascii="Arial" w:hAnsi="Arial" w:cs="Arial"/>
                <w:sz w:val="20"/>
                <w:szCs w:val="20"/>
              </w:rPr>
              <w:t>defend  ideas</w:t>
            </w:r>
            <w:proofErr w:type="gramEnd"/>
            <w:r w:rsidRPr="005E2E7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5E2E71" w:rsidRDefault="00A92C9B" w:rsidP="00AD72D1">
            <w:pPr>
              <w:rPr>
                <w:rFonts w:ascii="Arial" w:hAnsi="Arial" w:cs="Arial"/>
                <w:sz w:val="20"/>
                <w:szCs w:val="20"/>
              </w:rPr>
            </w:pPr>
            <w:r w:rsidRPr="005E2E71">
              <w:rPr>
                <w:rFonts w:ascii="Arial" w:hAnsi="Arial" w:cs="Arial"/>
                <w:sz w:val="20"/>
                <w:szCs w:val="20"/>
              </w:rPr>
              <w:t>Work flexibly and respond to change</w:t>
            </w:r>
          </w:p>
        </w:tc>
        <w:tc>
          <w:tcPr>
            <w:tcW w:w="2202" w:type="dxa"/>
            <w:shd w:val="clear" w:color="auto" w:fill="auto"/>
          </w:tcPr>
          <w:p w14:paraId="4CB95DA2" w14:textId="77777777" w:rsidR="00A92C9B" w:rsidRPr="005E2E71" w:rsidRDefault="00A92C9B" w:rsidP="00AD72D1">
            <w:pPr>
              <w:rPr>
                <w:rFonts w:ascii="Arial" w:hAnsi="Arial" w:cs="Arial"/>
                <w:sz w:val="20"/>
                <w:szCs w:val="20"/>
              </w:rPr>
            </w:pPr>
            <w:r w:rsidRPr="005E2E7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5E2E71" w:rsidRDefault="00A92C9B" w:rsidP="00AD72D1">
            <w:pPr>
              <w:rPr>
                <w:rFonts w:ascii="Arial" w:hAnsi="Arial" w:cs="Arial"/>
                <w:sz w:val="20"/>
                <w:szCs w:val="20"/>
              </w:rPr>
            </w:pPr>
            <w:r w:rsidRPr="005E2E71">
              <w:rPr>
                <w:rFonts w:ascii="Arial" w:hAnsi="Arial" w:cs="Arial"/>
                <w:sz w:val="20"/>
                <w:szCs w:val="20"/>
              </w:rPr>
              <w:t>Present and record data in appropriate formats</w:t>
            </w:r>
          </w:p>
        </w:tc>
        <w:tc>
          <w:tcPr>
            <w:tcW w:w="2202" w:type="dxa"/>
            <w:shd w:val="clear" w:color="auto" w:fill="auto"/>
          </w:tcPr>
          <w:p w14:paraId="76B084C9" w14:textId="77777777" w:rsidR="00A92C9B" w:rsidRPr="005E2E71" w:rsidRDefault="00A92C9B" w:rsidP="00AD72D1">
            <w:pPr>
              <w:rPr>
                <w:rFonts w:ascii="Arial" w:hAnsi="Arial" w:cs="Arial"/>
                <w:sz w:val="20"/>
                <w:szCs w:val="20"/>
              </w:rPr>
            </w:pPr>
            <w:r w:rsidRPr="005E2E7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5E2E71" w:rsidRDefault="00A92C9B" w:rsidP="00AD72D1">
            <w:pPr>
              <w:rPr>
                <w:rFonts w:ascii="Arial" w:hAnsi="Arial" w:cs="Arial"/>
                <w:sz w:val="20"/>
                <w:szCs w:val="20"/>
              </w:rPr>
            </w:pPr>
            <w:r w:rsidRPr="005E2E71">
              <w:rPr>
                <w:rFonts w:ascii="Arial" w:hAnsi="Arial" w:cs="Arial"/>
                <w:sz w:val="20"/>
                <w:szCs w:val="20"/>
              </w:rPr>
              <w:t>Work with complex ideas and justify judgements made through effective use of evidence</w:t>
            </w:r>
          </w:p>
        </w:tc>
      </w:tr>
      <w:tr w:rsidR="00A92C9B" w:rsidRPr="005E2E71" w14:paraId="7E1A3274" w14:textId="77777777" w:rsidTr="00AD72D1">
        <w:tc>
          <w:tcPr>
            <w:tcW w:w="2202" w:type="dxa"/>
            <w:shd w:val="clear" w:color="auto" w:fill="auto"/>
          </w:tcPr>
          <w:p w14:paraId="6418EB0A" w14:textId="77777777" w:rsidR="00A92C9B" w:rsidRPr="005E2E71" w:rsidRDefault="00A92C9B" w:rsidP="00AD72D1">
            <w:pPr>
              <w:rPr>
                <w:rFonts w:ascii="Arial" w:hAnsi="Arial" w:cs="Arial"/>
                <w:sz w:val="20"/>
                <w:szCs w:val="20"/>
              </w:rPr>
            </w:pPr>
            <w:r w:rsidRPr="005E2E7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5E2E71" w:rsidRDefault="00A92C9B" w:rsidP="00AD72D1">
            <w:pPr>
              <w:rPr>
                <w:rFonts w:ascii="Arial" w:hAnsi="Arial" w:cs="Arial"/>
                <w:sz w:val="20"/>
                <w:szCs w:val="20"/>
              </w:rPr>
            </w:pPr>
            <w:r w:rsidRPr="005E2E7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5E2E71" w:rsidRDefault="00A92C9B" w:rsidP="00AD72D1">
            <w:pPr>
              <w:rPr>
                <w:rFonts w:ascii="Arial" w:hAnsi="Arial" w:cs="Arial"/>
                <w:sz w:val="20"/>
                <w:szCs w:val="20"/>
              </w:rPr>
            </w:pPr>
            <w:r w:rsidRPr="005E2E7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5E2E71" w:rsidRDefault="00A92C9B" w:rsidP="00AD72D1">
            <w:pPr>
              <w:rPr>
                <w:rFonts w:ascii="Arial" w:hAnsi="Arial" w:cs="Arial"/>
                <w:sz w:val="20"/>
                <w:szCs w:val="20"/>
              </w:rPr>
            </w:pPr>
            <w:r w:rsidRPr="005E2E7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5E2E71" w:rsidRDefault="00A92C9B" w:rsidP="00AD72D1">
            <w:pPr>
              <w:rPr>
                <w:rFonts w:ascii="Arial" w:hAnsi="Arial" w:cs="Arial"/>
                <w:sz w:val="20"/>
                <w:szCs w:val="20"/>
              </w:rPr>
            </w:pPr>
            <w:r w:rsidRPr="005E2E7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5E2E71" w:rsidRDefault="00A92C9B" w:rsidP="00AD72D1">
            <w:pPr>
              <w:rPr>
                <w:rFonts w:ascii="Arial" w:hAnsi="Arial" w:cs="Arial"/>
                <w:sz w:val="20"/>
                <w:szCs w:val="20"/>
              </w:rPr>
            </w:pPr>
            <w:r w:rsidRPr="005E2E7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5E2E71" w:rsidRDefault="00A92C9B" w:rsidP="00AD72D1">
            <w:pPr>
              <w:rPr>
                <w:rFonts w:ascii="Arial" w:hAnsi="Arial" w:cs="Arial"/>
                <w:sz w:val="20"/>
                <w:szCs w:val="20"/>
              </w:rPr>
            </w:pPr>
          </w:p>
        </w:tc>
      </w:tr>
      <w:tr w:rsidR="00A92C9B" w:rsidRPr="005E2E71" w14:paraId="2DBF266A" w14:textId="77777777" w:rsidTr="00AD72D1">
        <w:tc>
          <w:tcPr>
            <w:tcW w:w="2202" w:type="dxa"/>
            <w:shd w:val="clear" w:color="auto" w:fill="auto"/>
          </w:tcPr>
          <w:p w14:paraId="4E0E982E" w14:textId="77777777" w:rsidR="00A92C9B" w:rsidRPr="005E2E71" w:rsidRDefault="00A92C9B" w:rsidP="00AD72D1">
            <w:pPr>
              <w:rPr>
                <w:rFonts w:ascii="Arial" w:hAnsi="Arial" w:cs="Arial"/>
                <w:sz w:val="20"/>
                <w:szCs w:val="20"/>
              </w:rPr>
            </w:pPr>
            <w:r w:rsidRPr="005E2E7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5E2E71" w:rsidRDefault="00A92C9B" w:rsidP="00AD72D1">
            <w:pPr>
              <w:rPr>
                <w:rFonts w:ascii="Arial" w:hAnsi="Arial" w:cs="Arial"/>
                <w:sz w:val="20"/>
                <w:szCs w:val="20"/>
              </w:rPr>
            </w:pPr>
          </w:p>
        </w:tc>
        <w:tc>
          <w:tcPr>
            <w:tcW w:w="2203" w:type="dxa"/>
            <w:shd w:val="clear" w:color="auto" w:fill="auto"/>
          </w:tcPr>
          <w:p w14:paraId="59FDF090" w14:textId="77777777" w:rsidR="00A92C9B" w:rsidRPr="005E2E71" w:rsidRDefault="00A92C9B" w:rsidP="00AD72D1">
            <w:pPr>
              <w:rPr>
                <w:rFonts w:ascii="Arial" w:hAnsi="Arial" w:cs="Arial"/>
                <w:sz w:val="20"/>
                <w:szCs w:val="20"/>
              </w:rPr>
            </w:pPr>
            <w:r w:rsidRPr="005E2E71">
              <w:rPr>
                <w:rFonts w:ascii="Arial" w:hAnsi="Arial" w:cs="Arial"/>
                <w:sz w:val="20"/>
                <w:szCs w:val="20"/>
              </w:rPr>
              <w:t xml:space="preserve">Give, </w:t>
            </w:r>
            <w:proofErr w:type="gramStart"/>
            <w:r w:rsidRPr="005E2E71">
              <w:rPr>
                <w:rFonts w:ascii="Arial" w:hAnsi="Arial" w:cs="Arial"/>
                <w:sz w:val="20"/>
                <w:szCs w:val="20"/>
              </w:rPr>
              <w:t>accept</w:t>
            </w:r>
            <w:proofErr w:type="gramEnd"/>
            <w:r w:rsidRPr="005E2E7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5E2E71" w:rsidRDefault="00A92C9B" w:rsidP="00AD72D1">
            <w:pPr>
              <w:rPr>
                <w:rFonts w:ascii="Arial" w:hAnsi="Arial" w:cs="Arial"/>
                <w:sz w:val="20"/>
                <w:szCs w:val="20"/>
              </w:rPr>
            </w:pPr>
            <w:r w:rsidRPr="005E2E71">
              <w:rPr>
                <w:rFonts w:ascii="Arial" w:hAnsi="Arial" w:cs="Arial"/>
                <w:sz w:val="20"/>
                <w:szCs w:val="20"/>
              </w:rPr>
              <w:t>Accurately cite and reference information sources</w:t>
            </w:r>
          </w:p>
        </w:tc>
        <w:tc>
          <w:tcPr>
            <w:tcW w:w="2203" w:type="dxa"/>
            <w:shd w:val="clear" w:color="auto" w:fill="auto"/>
          </w:tcPr>
          <w:p w14:paraId="463D870C" w14:textId="77777777" w:rsidR="00A92C9B" w:rsidRPr="005E2E71" w:rsidRDefault="00A92C9B" w:rsidP="00AD72D1">
            <w:pPr>
              <w:rPr>
                <w:rFonts w:ascii="Arial" w:hAnsi="Arial" w:cs="Arial"/>
                <w:sz w:val="20"/>
                <w:szCs w:val="20"/>
              </w:rPr>
            </w:pPr>
            <w:r w:rsidRPr="005E2E7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5E2E71" w:rsidRDefault="00A92C9B" w:rsidP="00AD72D1">
            <w:pPr>
              <w:rPr>
                <w:rFonts w:ascii="Arial" w:hAnsi="Arial" w:cs="Arial"/>
                <w:sz w:val="20"/>
                <w:szCs w:val="20"/>
              </w:rPr>
            </w:pPr>
            <w:r w:rsidRPr="005E2E7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5E2E71" w:rsidRDefault="00A92C9B" w:rsidP="00AD72D1">
            <w:pPr>
              <w:rPr>
                <w:rFonts w:ascii="Arial" w:hAnsi="Arial" w:cs="Arial"/>
                <w:sz w:val="20"/>
                <w:szCs w:val="20"/>
              </w:rPr>
            </w:pPr>
          </w:p>
        </w:tc>
      </w:tr>
      <w:tr w:rsidR="00A92C9B" w:rsidRPr="005E2E71" w14:paraId="3E14A0A5" w14:textId="77777777" w:rsidTr="00AD72D1">
        <w:trPr>
          <w:trHeight w:val="564"/>
        </w:trPr>
        <w:tc>
          <w:tcPr>
            <w:tcW w:w="2202" w:type="dxa"/>
            <w:shd w:val="clear" w:color="auto" w:fill="auto"/>
          </w:tcPr>
          <w:p w14:paraId="19316928" w14:textId="77777777" w:rsidR="00A92C9B" w:rsidRPr="005E2E71" w:rsidRDefault="00A92C9B" w:rsidP="00AD72D1">
            <w:pPr>
              <w:rPr>
                <w:rFonts w:ascii="Arial" w:hAnsi="Arial" w:cs="Arial"/>
                <w:sz w:val="20"/>
                <w:szCs w:val="20"/>
              </w:rPr>
            </w:pPr>
          </w:p>
        </w:tc>
        <w:tc>
          <w:tcPr>
            <w:tcW w:w="2202" w:type="dxa"/>
            <w:shd w:val="clear" w:color="auto" w:fill="auto"/>
          </w:tcPr>
          <w:p w14:paraId="179BE34C" w14:textId="77777777" w:rsidR="00A92C9B" w:rsidRPr="005E2E71" w:rsidRDefault="00A92C9B" w:rsidP="00AD72D1">
            <w:pPr>
              <w:rPr>
                <w:rFonts w:ascii="Arial" w:hAnsi="Arial" w:cs="Arial"/>
                <w:sz w:val="20"/>
                <w:szCs w:val="20"/>
              </w:rPr>
            </w:pPr>
          </w:p>
        </w:tc>
        <w:tc>
          <w:tcPr>
            <w:tcW w:w="2203" w:type="dxa"/>
            <w:shd w:val="clear" w:color="auto" w:fill="auto"/>
          </w:tcPr>
          <w:p w14:paraId="526BA430" w14:textId="77777777" w:rsidR="00A92C9B" w:rsidRPr="005E2E71" w:rsidRDefault="00A92C9B" w:rsidP="00AD72D1">
            <w:pPr>
              <w:rPr>
                <w:rFonts w:ascii="Arial" w:hAnsi="Arial" w:cs="Arial"/>
                <w:sz w:val="20"/>
                <w:szCs w:val="20"/>
              </w:rPr>
            </w:pPr>
            <w:r w:rsidRPr="005E2E7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5E2E71" w:rsidRDefault="00A92C9B" w:rsidP="00AD72D1">
            <w:pPr>
              <w:rPr>
                <w:rFonts w:ascii="Arial" w:hAnsi="Arial" w:cs="Arial"/>
                <w:sz w:val="20"/>
                <w:szCs w:val="20"/>
              </w:rPr>
            </w:pPr>
            <w:r w:rsidRPr="005E2E71">
              <w:rPr>
                <w:rFonts w:ascii="Arial" w:hAnsi="Arial" w:cs="Arial"/>
                <w:sz w:val="20"/>
                <w:szCs w:val="20"/>
              </w:rPr>
              <w:t>Use software and IT technology as appropriate</w:t>
            </w:r>
          </w:p>
        </w:tc>
        <w:tc>
          <w:tcPr>
            <w:tcW w:w="2203" w:type="dxa"/>
            <w:shd w:val="clear" w:color="auto" w:fill="auto"/>
          </w:tcPr>
          <w:p w14:paraId="77BB5FE4" w14:textId="77777777" w:rsidR="00A92C9B" w:rsidRPr="005E2E71" w:rsidRDefault="00A92C9B" w:rsidP="00AD72D1">
            <w:pPr>
              <w:rPr>
                <w:rFonts w:ascii="Arial" w:hAnsi="Arial" w:cs="Arial"/>
                <w:sz w:val="20"/>
                <w:szCs w:val="20"/>
              </w:rPr>
            </w:pPr>
          </w:p>
        </w:tc>
        <w:tc>
          <w:tcPr>
            <w:tcW w:w="2202" w:type="dxa"/>
            <w:shd w:val="clear" w:color="auto" w:fill="auto"/>
          </w:tcPr>
          <w:p w14:paraId="6A5A9DD8" w14:textId="77777777" w:rsidR="00A92C9B" w:rsidRPr="005E2E71" w:rsidRDefault="00A92C9B" w:rsidP="00AD72D1">
            <w:pPr>
              <w:rPr>
                <w:rFonts w:ascii="Arial" w:hAnsi="Arial" w:cs="Arial"/>
                <w:sz w:val="20"/>
                <w:szCs w:val="20"/>
              </w:rPr>
            </w:pPr>
          </w:p>
        </w:tc>
        <w:tc>
          <w:tcPr>
            <w:tcW w:w="2203" w:type="dxa"/>
            <w:shd w:val="clear" w:color="auto" w:fill="auto"/>
          </w:tcPr>
          <w:p w14:paraId="31665697" w14:textId="77777777" w:rsidR="00A92C9B" w:rsidRPr="005E2E71" w:rsidRDefault="00A92C9B" w:rsidP="00AD72D1">
            <w:pPr>
              <w:rPr>
                <w:rFonts w:ascii="Arial" w:hAnsi="Arial" w:cs="Arial"/>
                <w:sz w:val="20"/>
                <w:szCs w:val="20"/>
              </w:rPr>
            </w:pPr>
          </w:p>
        </w:tc>
      </w:tr>
    </w:tbl>
    <w:p w14:paraId="38639FDA" w14:textId="77777777" w:rsidR="00A92C9B" w:rsidRPr="005E2E71" w:rsidRDefault="00A92C9B" w:rsidP="00A92C9B">
      <w:pPr>
        <w:rPr>
          <w:rFonts w:ascii="Arial" w:hAnsi="Arial" w:cs="Arial"/>
        </w:rPr>
        <w:sectPr w:rsidR="00A92C9B" w:rsidRPr="005E2E71" w:rsidSect="00363792">
          <w:pgSz w:w="16838" w:h="11906" w:orient="landscape"/>
          <w:pgMar w:top="851" w:right="851" w:bottom="851" w:left="851" w:header="709" w:footer="709" w:gutter="0"/>
          <w:cols w:space="708"/>
          <w:docGrid w:linePitch="360"/>
        </w:sectPr>
      </w:pPr>
    </w:p>
    <w:p w14:paraId="60F833BA" w14:textId="77777777" w:rsidR="00A92C9B" w:rsidRPr="005E2E71" w:rsidRDefault="00A92C9B" w:rsidP="00A92C9B">
      <w:pPr>
        <w:pStyle w:val="ListParagraph"/>
        <w:numPr>
          <w:ilvl w:val="0"/>
          <w:numId w:val="1"/>
        </w:numPr>
        <w:autoSpaceDE w:val="0"/>
        <w:autoSpaceDN w:val="0"/>
        <w:contextualSpacing w:val="0"/>
        <w:rPr>
          <w:rFonts w:ascii="Arial" w:hAnsi="Arial" w:cs="Arial"/>
        </w:rPr>
      </w:pPr>
      <w:r w:rsidRPr="005E2E71">
        <w:rPr>
          <w:rFonts w:ascii="Arial" w:hAnsi="Arial" w:cs="Arial"/>
          <w:b/>
        </w:rPr>
        <w:lastRenderedPageBreak/>
        <w:t>Outline Programme Structure</w:t>
      </w:r>
    </w:p>
    <w:p w14:paraId="2CE555FD" w14:textId="74E5C86F" w:rsidR="00A92C9B" w:rsidRPr="005E2E71" w:rsidRDefault="00A92C9B" w:rsidP="00A92C9B">
      <w:pPr>
        <w:rPr>
          <w:rFonts w:ascii="Arial" w:hAnsi="Arial" w:cs="Arial"/>
          <w:i/>
          <w:sz w:val="22"/>
          <w:szCs w:val="22"/>
        </w:rPr>
      </w:pPr>
    </w:p>
    <w:p w14:paraId="15532873" w14:textId="1A6DB354" w:rsidR="00B95B3A" w:rsidRPr="005E2E71" w:rsidRDefault="00592EFC" w:rsidP="00A92C9B">
      <w:pPr>
        <w:rPr>
          <w:rFonts w:ascii="Arial" w:hAnsi="Arial" w:cs="Arial"/>
          <w:iCs/>
          <w:sz w:val="22"/>
          <w:szCs w:val="22"/>
        </w:rPr>
      </w:pPr>
      <w:r w:rsidRPr="005E2E71">
        <w:rPr>
          <w:rFonts w:ascii="Arial" w:hAnsi="Arial" w:cs="Arial"/>
          <w:iCs/>
          <w:sz w:val="22"/>
          <w:szCs w:val="22"/>
        </w:rPr>
        <w:t xml:space="preserve">Both modules </w:t>
      </w:r>
      <w:r w:rsidR="00D0619A" w:rsidRPr="005E2E71">
        <w:rPr>
          <w:rFonts w:ascii="Arial" w:hAnsi="Arial" w:cs="Arial"/>
          <w:iCs/>
          <w:sz w:val="22"/>
          <w:szCs w:val="22"/>
        </w:rPr>
        <w:t xml:space="preserve">are </w:t>
      </w:r>
      <w:r w:rsidR="00601D80" w:rsidRPr="005E2E71">
        <w:rPr>
          <w:rFonts w:ascii="Arial" w:hAnsi="Arial" w:cs="Arial"/>
          <w:iCs/>
          <w:sz w:val="22"/>
          <w:szCs w:val="22"/>
        </w:rPr>
        <w:t>offered</w:t>
      </w:r>
      <w:r w:rsidR="007B3828" w:rsidRPr="005E2E71">
        <w:rPr>
          <w:rFonts w:ascii="Arial" w:hAnsi="Arial" w:cs="Arial"/>
          <w:iCs/>
          <w:sz w:val="22"/>
          <w:szCs w:val="22"/>
        </w:rPr>
        <w:t xml:space="preserve"> multiple times per year to maximise flexibility for part-time students. The start dates and mod</w:t>
      </w:r>
      <w:r w:rsidR="00E537E3" w:rsidRPr="005E2E71">
        <w:rPr>
          <w:rFonts w:ascii="Arial" w:hAnsi="Arial" w:cs="Arial"/>
          <w:iCs/>
          <w:sz w:val="22"/>
          <w:szCs w:val="22"/>
        </w:rPr>
        <w:t>es</w:t>
      </w:r>
      <w:r w:rsidR="007B3828" w:rsidRPr="005E2E71">
        <w:rPr>
          <w:rFonts w:ascii="Arial" w:hAnsi="Arial" w:cs="Arial"/>
          <w:iCs/>
          <w:sz w:val="22"/>
          <w:szCs w:val="22"/>
        </w:rPr>
        <w:t xml:space="preserve"> of delivery are </w:t>
      </w:r>
      <w:r w:rsidR="00E537E3" w:rsidRPr="005E2E71">
        <w:rPr>
          <w:rFonts w:ascii="Arial" w:hAnsi="Arial" w:cs="Arial"/>
          <w:iCs/>
          <w:sz w:val="22"/>
          <w:szCs w:val="22"/>
        </w:rPr>
        <w:t>listed in the table below</w:t>
      </w:r>
      <w:r w:rsidR="007B3828" w:rsidRPr="005E2E71">
        <w:rPr>
          <w:rFonts w:ascii="Arial" w:hAnsi="Arial" w:cs="Arial"/>
          <w:iCs/>
          <w:sz w:val="22"/>
          <w:szCs w:val="22"/>
        </w:rPr>
        <w:t>:</w:t>
      </w:r>
    </w:p>
    <w:p w14:paraId="049E959E" w14:textId="77777777" w:rsidR="00212759" w:rsidRPr="005E2E71" w:rsidRDefault="00212759" w:rsidP="00A92C9B">
      <w:pPr>
        <w:rPr>
          <w:rFonts w:ascii="Arial" w:hAnsi="Arial" w:cs="Arial"/>
          <w:iCs/>
          <w:sz w:val="22"/>
          <w:szCs w:val="22"/>
        </w:rPr>
      </w:pPr>
    </w:p>
    <w:tbl>
      <w:tblPr>
        <w:tblW w:w="9781" w:type="dxa"/>
        <w:tblInd w:w="-5" w:type="dxa"/>
        <w:tblBorders>
          <w:insideH w:val="single" w:sz="4" w:space="0" w:color="auto"/>
          <w:insideV w:val="single" w:sz="4" w:space="0" w:color="auto"/>
        </w:tblBorders>
        <w:tblLayout w:type="fixed"/>
        <w:tblLook w:val="04A0" w:firstRow="1" w:lastRow="0" w:firstColumn="1" w:lastColumn="0" w:noHBand="0" w:noVBand="1"/>
      </w:tblPr>
      <w:tblGrid>
        <w:gridCol w:w="2977"/>
        <w:gridCol w:w="992"/>
        <w:gridCol w:w="851"/>
        <w:gridCol w:w="2835"/>
        <w:gridCol w:w="2126"/>
      </w:tblGrid>
      <w:tr w:rsidR="00AE3DE3" w:rsidRPr="005E2E71" w14:paraId="60289CFE" w14:textId="77777777" w:rsidTr="000562B0">
        <w:tc>
          <w:tcPr>
            <w:tcW w:w="9781" w:type="dxa"/>
            <w:gridSpan w:val="5"/>
            <w:tcBorders>
              <w:top w:val="single" w:sz="4" w:space="0" w:color="auto"/>
              <w:left w:val="single" w:sz="4" w:space="0" w:color="auto"/>
              <w:bottom w:val="single" w:sz="4" w:space="0" w:color="auto"/>
              <w:right w:val="single" w:sz="4" w:space="0" w:color="auto"/>
            </w:tcBorders>
            <w:shd w:val="clear" w:color="auto" w:fill="DBE5F1"/>
          </w:tcPr>
          <w:p w14:paraId="2ECF4220" w14:textId="1D8C135E" w:rsidR="00AE3DE3" w:rsidRPr="005E2E71" w:rsidRDefault="0036736B" w:rsidP="0036736B">
            <w:pPr>
              <w:rPr>
                <w:rFonts w:ascii="Arial" w:hAnsi="Arial" w:cs="Arial"/>
                <w:b/>
                <w:sz w:val="20"/>
              </w:rPr>
            </w:pPr>
            <w:r w:rsidRPr="005E2E71">
              <w:rPr>
                <w:rFonts w:ascii="Arial" w:hAnsi="Arial" w:cs="Arial"/>
                <w:b/>
                <w:sz w:val="20"/>
              </w:rPr>
              <w:t>Level 7 (60 credits core modules)</w:t>
            </w:r>
          </w:p>
        </w:tc>
      </w:tr>
      <w:tr w:rsidR="00E537E3" w:rsidRPr="005E2E71" w14:paraId="3DCB791C" w14:textId="77777777" w:rsidTr="008678F7">
        <w:tc>
          <w:tcPr>
            <w:tcW w:w="2977" w:type="dxa"/>
            <w:tcBorders>
              <w:top w:val="single" w:sz="4" w:space="0" w:color="auto"/>
              <w:left w:val="single" w:sz="4" w:space="0" w:color="auto"/>
              <w:bottom w:val="single" w:sz="4" w:space="0" w:color="auto"/>
              <w:right w:val="single" w:sz="4" w:space="0" w:color="auto"/>
            </w:tcBorders>
            <w:shd w:val="clear" w:color="auto" w:fill="DBE5F1"/>
          </w:tcPr>
          <w:p w14:paraId="516C332B" w14:textId="77777777" w:rsidR="00E537E3" w:rsidRPr="005E2E71" w:rsidRDefault="00E537E3" w:rsidP="005F25DE">
            <w:pPr>
              <w:rPr>
                <w:rFonts w:ascii="Arial" w:hAnsi="Arial" w:cs="Arial"/>
                <w:b/>
                <w:sz w:val="20"/>
              </w:rPr>
            </w:pPr>
            <w:r w:rsidRPr="005E2E71">
              <w:rPr>
                <w:rFonts w:ascii="Arial" w:hAnsi="Arial" w:cs="Arial"/>
                <w:b/>
                <w:sz w:val="20"/>
              </w:rPr>
              <w:t>Core modules</w:t>
            </w:r>
          </w:p>
          <w:p w14:paraId="3EF3CD71" w14:textId="77777777" w:rsidR="00E537E3" w:rsidRPr="005E2E71" w:rsidRDefault="00E537E3" w:rsidP="005F25DE">
            <w:pPr>
              <w:rPr>
                <w:rFonts w:ascii="Arial" w:hAnsi="Arial" w:cs="Arial"/>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A1D3335" w14:textId="77777777" w:rsidR="00E537E3" w:rsidRPr="005E2E71" w:rsidRDefault="00E537E3" w:rsidP="005F25DE">
            <w:pPr>
              <w:jc w:val="center"/>
              <w:rPr>
                <w:rFonts w:ascii="Arial" w:hAnsi="Arial" w:cs="Arial"/>
                <w:b/>
                <w:sz w:val="20"/>
              </w:rPr>
            </w:pPr>
            <w:r w:rsidRPr="005E2E71">
              <w:rPr>
                <w:rFonts w:ascii="Arial" w:hAnsi="Arial" w:cs="Arial"/>
                <w:b/>
                <w:sz w:val="20"/>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3D4232D9" w14:textId="77777777" w:rsidR="00E537E3" w:rsidRPr="005E2E71" w:rsidRDefault="00E537E3" w:rsidP="005F25DE">
            <w:pPr>
              <w:jc w:val="center"/>
              <w:rPr>
                <w:rFonts w:ascii="Arial" w:hAnsi="Arial" w:cs="Arial"/>
                <w:b/>
                <w:sz w:val="20"/>
              </w:rPr>
            </w:pPr>
            <w:r w:rsidRPr="005E2E71">
              <w:rPr>
                <w:rFonts w:ascii="Arial" w:hAnsi="Arial" w:cs="Arial"/>
                <w:b/>
                <w:sz w:val="20"/>
              </w:rPr>
              <w:t xml:space="preserve">Credit </w:t>
            </w:r>
          </w:p>
          <w:p w14:paraId="2FA58A52" w14:textId="77777777" w:rsidR="00E537E3" w:rsidRPr="005E2E71" w:rsidRDefault="00E537E3" w:rsidP="005F25DE">
            <w:pPr>
              <w:jc w:val="center"/>
              <w:rPr>
                <w:rFonts w:ascii="Arial" w:hAnsi="Arial" w:cs="Arial"/>
                <w:b/>
                <w:sz w:val="20"/>
              </w:rPr>
            </w:pPr>
            <w:r w:rsidRPr="005E2E71">
              <w:rPr>
                <w:rFonts w:ascii="Arial" w:hAnsi="Arial" w:cs="Arial"/>
                <w:b/>
                <w:sz w:val="20"/>
              </w:rPr>
              <w:t>Value</w:t>
            </w:r>
          </w:p>
        </w:tc>
        <w:tc>
          <w:tcPr>
            <w:tcW w:w="2835" w:type="dxa"/>
            <w:tcBorders>
              <w:top w:val="single" w:sz="4" w:space="0" w:color="auto"/>
              <w:left w:val="single" w:sz="4" w:space="0" w:color="auto"/>
              <w:bottom w:val="single" w:sz="4" w:space="0" w:color="auto"/>
              <w:right w:val="single" w:sz="4" w:space="0" w:color="auto"/>
            </w:tcBorders>
            <w:shd w:val="clear" w:color="auto" w:fill="DBE5F1"/>
          </w:tcPr>
          <w:p w14:paraId="4314F184" w14:textId="2045B08E" w:rsidR="00E537E3" w:rsidRPr="005E2E71" w:rsidRDefault="00E537E3" w:rsidP="002A2012">
            <w:pPr>
              <w:jc w:val="center"/>
              <w:rPr>
                <w:rFonts w:ascii="Arial" w:hAnsi="Arial" w:cs="Arial"/>
                <w:b/>
                <w:sz w:val="20"/>
              </w:rPr>
            </w:pPr>
            <w:r w:rsidRPr="005E2E71">
              <w:rPr>
                <w:rFonts w:ascii="Arial" w:hAnsi="Arial" w:cs="Arial"/>
                <w:b/>
                <w:sz w:val="20"/>
              </w:rPr>
              <w:t>Teaching Block</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14:paraId="5F7FF57D" w14:textId="5821504A" w:rsidR="00E537E3" w:rsidRPr="005E2E71" w:rsidRDefault="00E537E3" w:rsidP="005F25DE">
            <w:pPr>
              <w:jc w:val="center"/>
              <w:rPr>
                <w:rFonts w:ascii="Arial" w:hAnsi="Arial" w:cs="Arial"/>
                <w:b/>
                <w:sz w:val="20"/>
              </w:rPr>
            </w:pPr>
            <w:r w:rsidRPr="005E2E71">
              <w:rPr>
                <w:rFonts w:ascii="Arial" w:hAnsi="Arial" w:cs="Arial"/>
                <w:b/>
                <w:sz w:val="20"/>
              </w:rPr>
              <w:t>Delivery mode</w:t>
            </w:r>
          </w:p>
        </w:tc>
      </w:tr>
      <w:tr w:rsidR="00E537E3" w:rsidRPr="005E2E71" w14:paraId="48BE0EA3" w14:textId="77777777" w:rsidTr="008678F7">
        <w:trPr>
          <w:trHeight w:val="872"/>
        </w:trPr>
        <w:tc>
          <w:tcPr>
            <w:tcW w:w="2977" w:type="dxa"/>
            <w:tcBorders>
              <w:top w:val="single" w:sz="4" w:space="0" w:color="auto"/>
              <w:left w:val="single" w:sz="4" w:space="0" w:color="auto"/>
              <w:bottom w:val="single" w:sz="4" w:space="0" w:color="auto"/>
              <w:right w:val="single" w:sz="4" w:space="0" w:color="auto"/>
            </w:tcBorders>
          </w:tcPr>
          <w:p w14:paraId="401F9C84" w14:textId="2F866706" w:rsidR="00E537E3" w:rsidRPr="005E2E71" w:rsidRDefault="004D5D7B" w:rsidP="005F25DE">
            <w:pPr>
              <w:rPr>
                <w:rFonts w:ascii="Arial" w:hAnsi="Arial" w:cs="Arial"/>
                <w:sz w:val="20"/>
              </w:rPr>
            </w:pPr>
            <w:r w:rsidRPr="005E2E71">
              <w:rPr>
                <w:rFonts w:ascii="Arial" w:hAnsi="Arial" w:cs="Arial"/>
                <w:sz w:val="20"/>
              </w:rPr>
              <w:t>Advanced c</w:t>
            </w:r>
            <w:r w:rsidR="00E537E3" w:rsidRPr="005E2E71">
              <w:rPr>
                <w:rFonts w:ascii="Arial" w:hAnsi="Arial" w:cs="Arial"/>
                <w:sz w:val="20"/>
              </w:rPr>
              <w:t>linical reasoning in health assessment: lifespan perspectives (</w:t>
            </w:r>
            <w:r w:rsidR="00CE5B29" w:rsidRPr="005E2E71">
              <w:rPr>
                <w:rFonts w:ascii="Arial" w:hAnsi="Arial" w:cs="Arial"/>
                <w:sz w:val="20"/>
              </w:rPr>
              <w:t>A</w:t>
            </w:r>
            <w:r w:rsidR="00E537E3" w:rsidRPr="005E2E71">
              <w:rPr>
                <w:rFonts w:ascii="Arial" w:hAnsi="Arial" w:cs="Arial"/>
                <w:sz w:val="20"/>
              </w:rPr>
              <w:t>CRHA)</w:t>
            </w:r>
          </w:p>
        </w:tc>
        <w:tc>
          <w:tcPr>
            <w:tcW w:w="992" w:type="dxa"/>
            <w:tcBorders>
              <w:top w:val="single" w:sz="4" w:space="0" w:color="auto"/>
              <w:left w:val="single" w:sz="4" w:space="0" w:color="auto"/>
              <w:bottom w:val="single" w:sz="4" w:space="0" w:color="auto"/>
              <w:right w:val="single" w:sz="4" w:space="0" w:color="auto"/>
            </w:tcBorders>
          </w:tcPr>
          <w:p w14:paraId="17C43A04" w14:textId="77777777" w:rsidR="00E537E3" w:rsidRPr="005E2E71" w:rsidRDefault="00E537E3" w:rsidP="005F25DE">
            <w:pPr>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5DF2588F" w14:textId="63AFAE59" w:rsidR="00E537E3" w:rsidRPr="005E2E71" w:rsidRDefault="00E537E3" w:rsidP="005F25DE">
            <w:pPr>
              <w:jc w:val="center"/>
              <w:rPr>
                <w:rFonts w:ascii="Arial" w:hAnsi="Arial" w:cs="Arial"/>
                <w:sz w:val="20"/>
              </w:rPr>
            </w:pPr>
            <w:r w:rsidRPr="005E2E71">
              <w:rPr>
                <w:rFonts w:ascii="Arial" w:hAnsi="Arial" w:cs="Arial"/>
                <w:sz w:val="20"/>
              </w:rPr>
              <w:t>30</w:t>
            </w:r>
          </w:p>
        </w:tc>
        <w:tc>
          <w:tcPr>
            <w:tcW w:w="2835" w:type="dxa"/>
            <w:tcBorders>
              <w:top w:val="single" w:sz="4" w:space="0" w:color="auto"/>
              <w:left w:val="single" w:sz="4" w:space="0" w:color="auto"/>
              <w:bottom w:val="single" w:sz="4" w:space="0" w:color="auto"/>
              <w:right w:val="single" w:sz="4" w:space="0" w:color="auto"/>
            </w:tcBorders>
          </w:tcPr>
          <w:p w14:paraId="6F1550FC" w14:textId="16AEE162" w:rsidR="00E537E3" w:rsidRPr="005E2E71" w:rsidRDefault="00E537E3" w:rsidP="007F536F">
            <w:pPr>
              <w:jc w:val="center"/>
              <w:rPr>
                <w:rFonts w:ascii="Arial" w:hAnsi="Arial" w:cs="Arial"/>
                <w:sz w:val="20"/>
              </w:rPr>
            </w:pPr>
            <w:r w:rsidRPr="005E2E71">
              <w:rPr>
                <w:rFonts w:ascii="Arial" w:hAnsi="Arial" w:cs="Arial"/>
                <w:sz w:val="20"/>
              </w:rPr>
              <w:t>1 or 2</w:t>
            </w:r>
          </w:p>
          <w:p w14:paraId="4E093249" w14:textId="30D28DD2" w:rsidR="001F312D" w:rsidRPr="005E2E71" w:rsidRDefault="001F312D" w:rsidP="007F536F">
            <w:pPr>
              <w:jc w:val="center"/>
              <w:rPr>
                <w:rFonts w:ascii="Arial" w:hAnsi="Arial" w:cs="Arial"/>
                <w:sz w:val="20"/>
              </w:rPr>
            </w:pPr>
            <w:r w:rsidRPr="005E2E71">
              <w:rPr>
                <w:rFonts w:ascii="Arial" w:hAnsi="Arial" w:cs="Arial"/>
                <w:sz w:val="20"/>
              </w:rPr>
              <w:t xml:space="preserve">(Sept, Oct, </w:t>
            </w:r>
            <w:r w:rsidR="00601D80" w:rsidRPr="005E2E71">
              <w:rPr>
                <w:rFonts w:ascii="Arial" w:hAnsi="Arial" w:cs="Arial"/>
                <w:sz w:val="20"/>
              </w:rPr>
              <w:t>Jan, March, June start dates available)</w:t>
            </w:r>
          </w:p>
          <w:p w14:paraId="6567A308" w14:textId="3E94D753" w:rsidR="00E537E3" w:rsidRPr="005E2E71" w:rsidRDefault="00E537E3" w:rsidP="007F536F">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62DA330C" w14:textId="746E0FA5" w:rsidR="00E537E3" w:rsidRPr="005E2E71" w:rsidRDefault="00601D80" w:rsidP="005F25DE">
            <w:pPr>
              <w:jc w:val="center"/>
              <w:rPr>
                <w:rFonts w:ascii="Arial" w:hAnsi="Arial" w:cs="Arial"/>
                <w:sz w:val="20"/>
              </w:rPr>
            </w:pPr>
            <w:r w:rsidRPr="005E2E71">
              <w:rPr>
                <w:rFonts w:ascii="Arial" w:hAnsi="Arial" w:cs="Arial"/>
                <w:sz w:val="20"/>
              </w:rPr>
              <w:t>2 taught days per week for 5 consecutive weeks</w:t>
            </w:r>
          </w:p>
        </w:tc>
      </w:tr>
      <w:tr w:rsidR="00E537E3" w:rsidRPr="005E2E71" w14:paraId="794D4B43" w14:textId="77777777" w:rsidTr="008678F7">
        <w:trPr>
          <w:trHeight w:val="800"/>
        </w:trPr>
        <w:tc>
          <w:tcPr>
            <w:tcW w:w="2977" w:type="dxa"/>
            <w:tcBorders>
              <w:top w:val="single" w:sz="4" w:space="0" w:color="auto"/>
              <w:left w:val="single" w:sz="4" w:space="0" w:color="auto"/>
              <w:bottom w:val="single" w:sz="4" w:space="0" w:color="auto"/>
              <w:right w:val="single" w:sz="4" w:space="0" w:color="auto"/>
            </w:tcBorders>
          </w:tcPr>
          <w:p w14:paraId="41F1F612" w14:textId="0CE3709B" w:rsidR="00E537E3" w:rsidRPr="005E2E71" w:rsidRDefault="00E537E3" w:rsidP="005F25DE">
            <w:pPr>
              <w:rPr>
                <w:rFonts w:ascii="Arial" w:hAnsi="Arial" w:cs="Arial"/>
                <w:sz w:val="20"/>
              </w:rPr>
            </w:pPr>
            <w:r w:rsidRPr="005E2E71">
              <w:rPr>
                <w:rFonts w:ascii="Arial" w:hAnsi="Arial" w:cs="Arial"/>
                <w:sz w:val="20"/>
              </w:rPr>
              <w:t>Independent/ supplementary prescribing for nurses and midwives (V300)</w:t>
            </w:r>
          </w:p>
        </w:tc>
        <w:tc>
          <w:tcPr>
            <w:tcW w:w="992" w:type="dxa"/>
            <w:tcBorders>
              <w:top w:val="single" w:sz="4" w:space="0" w:color="auto"/>
              <w:left w:val="single" w:sz="4" w:space="0" w:color="auto"/>
              <w:bottom w:val="single" w:sz="4" w:space="0" w:color="auto"/>
              <w:right w:val="single" w:sz="4" w:space="0" w:color="auto"/>
            </w:tcBorders>
          </w:tcPr>
          <w:p w14:paraId="7A79F4A4" w14:textId="77777777" w:rsidR="00E537E3" w:rsidRPr="005E2E71" w:rsidRDefault="00E537E3" w:rsidP="005F25DE">
            <w:pPr>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33AB2B32" w14:textId="72DC7BF5" w:rsidR="00E537E3" w:rsidRPr="005E2E71" w:rsidRDefault="00E537E3" w:rsidP="005F25DE">
            <w:pPr>
              <w:jc w:val="center"/>
              <w:rPr>
                <w:rFonts w:ascii="Arial" w:hAnsi="Arial" w:cs="Arial"/>
                <w:sz w:val="20"/>
              </w:rPr>
            </w:pPr>
            <w:r w:rsidRPr="005E2E71">
              <w:rPr>
                <w:rFonts w:ascii="Arial" w:hAnsi="Arial" w:cs="Arial"/>
                <w:sz w:val="20"/>
              </w:rPr>
              <w:t>30</w:t>
            </w:r>
          </w:p>
        </w:tc>
        <w:tc>
          <w:tcPr>
            <w:tcW w:w="2835" w:type="dxa"/>
            <w:tcBorders>
              <w:top w:val="single" w:sz="4" w:space="0" w:color="auto"/>
              <w:left w:val="single" w:sz="4" w:space="0" w:color="auto"/>
              <w:bottom w:val="single" w:sz="4" w:space="0" w:color="auto"/>
              <w:right w:val="single" w:sz="4" w:space="0" w:color="auto"/>
            </w:tcBorders>
          </w:tcPr>
          <w:p w14:paraId="06B05A76" w14:textId="390BE8AC" w:rsidR="00E537E3" w:rsidRPr="005E2E71" w:rsidRDefault="00E537E3" w:rsidP="007F536F">
            <w:pPr>
              <w:jc w:val="center"/>
              <w:rPr>
                <w:rFonts w:ascii="Arial" w:hAnsi="Arial" w:cs="Arial"/>
                <w:sz w:val="20"/>
              </w:rPr>
            </w:pPr>
            <w:r w:rsidRPr="005E2E71">
              <w:rPr>
                <w:rFonts w:ascii="Arial" w:hAnsi="Arial" w:cs="Arial"/>
                <w:sz w:val="20"/>
              </w:rPr>
              <w:t>1 or 2</w:t>
            </w:r>
          </w:p>
          <w:p w14:paraId="18E9D9F1" w14:textId="39AC6909" w:rsidR="00601D80" w:rsidRPr="005E2E71" w:rsidRDefault="00601D80" w:rsidP="007F536F">
            <w:pPr>
              <w:jc w:val="center"/>
              <w:rPr>
                <w:rFonts w:ascii="Arial" w:hAnsi="Arial" w:cs="Arial"/>
                <w:sz w:val="20"/>
              </w:rPr>
            </w:pPr>
            <w:r w:rsidRPr="005E2E71">
              <w:rPr>
                <w:rFonts w:ascii="Arial" w:hAnsi="Arial" w:cs="Arial"/>
                <w:sz w:val="20"/>
              </w:rPr>
              <w:t>(</w:t>
            </w:r>
            <w:r w:rsidR="00592EFC" w:rsidRPr="005E2E71">
              <w:rPr>
                <w:rFonts w:ascii="Arial" w:hAnsi="Arial" w:cs="Arial"/>
                <w:sz w:val="20"/>
              </w:rPr>
              <w:t>Sept</w:t>
            </w:r>
            <w:r w:rsidRPr="005E2E71">
              <w:rPr>
                <w:rFonts w:ascii="Arial" w:hAnsi="Arial" w:cs="Arial"/>
                <w:sz w:val="20"/>
              </w:rPr>
              <w:t xml:space="preserve"> and March start dates available)</w:t>
            </w:r>
          </w:p>
          <w:p w14:paraId="5DD07C76" w14:textId="77777777" w:rsidR="00601D80" w:rsidRPr="005E2E71" w:rsidRDefault="00601D80" w:rsidP="007F536F">
            <w:pPr>
              <w:jc w:val="center"/>
              <w:rPr>
                <w:rFonts w:ascii="Arial" w:hAnsi="Arial" w:cs="Arial"/>
                <w:sz w:val="20"/>
              </w:rPr>
            </w:pPr>
          </w:p>
          <w:p w14:paraId="77776324" w14:textId="18977D58" w:rsidR="00601D80" w:rsidRPr="005E2E71" w:rsidRDefault="00601D80" w:rsidP="007F536F">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1DC5D842" w14:textId="01BFA0BF" w:rsidR="00E537E3" w:rsidRPr="005E2E71" w:rsidRDefault="00CE5B29" w:rsidP="005F25DE">
            <w:pPr>
              <w:jc w:val="center"/>
              <w:rPr>
                <w:rFonts w:ascii="Arial" w:hAnsi="Arial" w:cs="Arial"/>
                <w:sz w:val="20"/>
              </w:rPr>
            </w:pPr>
            <w:r w:rsidRPr="005E2E71">
              <w:rPr>
                <w:rFonts w:ascii="Arial" w:hAnsi="Arial" w:cs="Arial"/>
                <w:sz w:val="20"/>
              </w:rPr>
              <w:t>12 taught days over 20 consecutive weeks</w:t>
            </w:r>
          </w:p>
        </w:tc>
      </w:tr>
    </w:tbl>
    <w:p w14:paraId="4188893A" w14:textId="2239C632" w:rsidR="004766FC" w:rsidRPr="005E2E71" w:rsidRDefault="004766FC" w:rsidP="00A92C9B">
      <w:pPr>
        <w:rPr>
          <w:rFonts w:ascii="Arial" w:hAnsi="Arial" w:cs="Arial"/>
          <w:i/>
          <w:color w:val="FF0000"/>
          <w:sz w:val="22"/>
          <w:szCs w:val="22"/>
        </w:rPr>
      </w:pPr>
    </w:p>
    <w:p w14:paraId="6DEEEC24" w14:textId="29DBC3F6" w:rsidR="00CA2672" w:rsidRPr="005E2E71" w:rsidRDefault="00CA2672" w:rsidP="00CA2672">
      <w:pPr>
        <w:rPr>
          <w:rFonts w:ascii="Arial" w:hAnsi="Arial" w:cs="Arial"/>
          <w:iCs/>
          <w:sz w:val="22"/>
          <w:szCs w:val="22"/>
        </w:rPr>
      </w:pPr>
      <w:r w:rsidRPr="005E2E71">
        <w:rPr>
          <w:rFonts w:ascii="Arial" w:hAnsi="Arial" w:cs="Arial"/>
          <w:iCs/>
          <w:sz w:val="22"/>
          <w:szCs w:val="22"/>
        </w:rPr>
        <w:t>Progression to the Independent/supplementary prescribing for nurses and midwives (V300) module is contingent on a pass mark in Advanced clinical reasoning in health assessment: lifespan perspectives (ACRHA) or Recognition of Prior Certificated Learning (RP</w:t>
      </w:r>
      <w:r w:rsidR="00AD2E99" w:rsidRPr="005E2E71">
        <w:rPr>
          <w:rFonts w:ascii="Arial" w:hAnsi="Arial" w:cs="Arial"/>
          <w:iCs/>
          <w:sz w:val="22"/>
          <w:szCs w:val="22"/>
        </w:rPr>
        <w:t>(C)</w:t>
      </w:r>
      <w:r w:rsidRPr="005E2E71">
        <w:rPr>
          <w:rFonts w:ascii="Arial" w:hAnsi="Arial" w:cs="Arial"/>
          <w:iCs/>
          <w:sz w:val="22"/>
          <w:szCs w:val="22"/>
        </w:rPr>
        <w:t xml:space="preserve">L) from equivalent level 7, 30 credits certificated learning. In cases where equivalent certificated learning can be evidenced, but RPL and therefore the PG Cert requirements are not met </w:t>
      </w:r>
      <w:proofErr w:type="gramStart"/>
      <w:r w:rsidRPr="005E2E71">
        <w:rPr>
          <w:rFonts w:ascii="Arial" w:hAnsi="Arial" w:cs="Arial"/>
          <w:iCs/>
          <w:sz w:val="22"/>
          <w:szCs w:val="22"/>
        </w:rPr>
        <w:t>e.g.</w:t>
      </w:r>
      <w:proofErr w:type="gramEnd"/>
      <w:r w:rsidRPr="005E2E71">
        <w:rPr>
          <w:rFonts w:ascii="Arial" w:hAnsi="Arial" w:cs="Arial"/>
          <w:iCs/>
          <w:sz w:val="22"/>
          <w:szCs w:val="22"/>
        </w:rPr>
        <w:t xml:space="preserve"> credits are not free standing, the V300 can be taken as a standalone module, leading to eligibility for NMC recognition as a prescriber. </w:t>
      </w:r>
    </w:p>
    <w:p w14:paraId="52748BA3" w14:textId="104AC178" w:rsidR="00A17205" w:rsidRPr="005E2E71" w:rsidRDefault="00A17205" w:rsidP="00CA2672">
      <w:pPr>
        <w:rPr>
          <w:rFonts w:ascii="Arial" w:hAnsi="Arial" w:cs="Arial"/>
          <w:iCs/>
          <w:sz w:val="22"/>
          <w:szCs w:val="22"/>
        </w:rPr>
      </w:pPr>
    </w:p>
    <w:p w14:paraId="1EECD776" w14:textId="5084E75A" w:rsidR="00A17205" w:rsidRPr="005E2E71" w:rsidRDefault="00A17205" w:rsidP="00CA2672">
      <w:pPr>
        <w:rPr>
          <w:rFonts w:ascii="Arial" w:hAnsi="Arial" w:cs="Arial"/>
          <w:iCs/>
          <w:sz w:val="22"/>
          <w:szCs w:val="22"/>
        </w:rPr>
      </w:pPr>
      <w:r w:rsidRPr="005E2E71">
        <w:rPr>
          <w:rFonts w:ascii="Arial" w:hAnsi="Arial" w:cs="Arial"/>
          <w:iCs/>
          <w:sz w:val="22"/>
          <w:szCs w:val="22"/>
        </w:rPr>
        <w:t>Entry and progression routes for the V300 are illustrated below:</w:t>
      </w:r>
    </w:p>
    <w:p w14:paraId="7CB13F5A" w14:textId="36D84B71" w:rsidR="00A17205" w:rsidRPr="005E2E71" w:rsidRDefault="00A17205" w:rsidP="00CA2672">
      <w:pPr>
        <w:rPr>
          <w:rFonts w:ascii="Arial" w:hAnsi="Arial" w:cs="Arial"/>
          <w:iCs/>
          <w:sz w:val="22"/>
          <w:szCs w:val="22"/>
        </w:rPr>
      </w:pPr>
    </w:p>
    <w:p w14:paraId="22D30FAF" w14:textId="3F08E15A" w:rsidR="00A17205" w:rsidRPr="005E2E71" w:rsidRDefault="00A17205" w:rsidP="00A17205">
      <w:pPr>
        <w:ind w:left="-1276"/>
        <w:rPr>
          <w:rFonts w:ascii="Arial" w:hAnsi="Arial" w:cs="Arial"/>
          <w:iCs/>
          <w:sz w:val="22"/>
          <w:szCs w:val="22"/>
        </w:rPr>
      </w:pPr>
      <w:r w:rsidRPr="005E2E71">
        <w:rPr>
          <w:rFonts w:ascii="Arial" w:hAnsi="Arial" w:cs="Arial"/>
          <w:iCs/>
          <w:noProof/>
          <w:sz w:val="22"/>
          <w:szCs w:val="22"/>
        </w:rPr>
        <w:drawing>
          <wp:inline distT="0" distB="0" distL="0" distR="0" wp14:anchorId="52BA1DB9" wp14:editId="5C633453">
            <wp:extent cx="7334250" cy="2114550"/>
            <wp:effectExtent l="19050" t="0" r="571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1E6258E" w14:textId="77777777" w:rsidR="00CA2672" w:rsidRPr="005E2E71" w:rsidRDefault="00CA2672" w:rsidP="00CA2672">
      <w:pPr>
        <w:rPr>
          <w:rFonts w:ascii="Arial" w:hAnsi="Arial" w:cs="Arial"/>
          <w:iCs/>
          <w:sz w:val="22"/>
          <w:szCs w:val="22"/>
        </w:rPr>
      </w:pPr>
    </w:p>
    <w:p w14:paraId="753B7174" w14:textId="77777777" w:rsidR="00CA2672" w:rsidRPr="005E2E71" w:rsidRDefault="00CA2672" w:rsidP="00CA2672">
      <w:pPr>
        <w:rPr>
          <w:rFonts w:ascii="Arial" w:hAnsi="Arial" w:cs="Arial"/>
          <w:iCs/>
          <w:sz w:val="22"/>
          <w:szCs w:val="22"/>
        </w:rPr>
      </w:pPr>
      <w:r w:rsidRPr="005E2E71">
        <w:rPr>
          <w:rFonts w:ascii="Arial" w:hAnsi="Arial" w:cs="Arial"/>
          <w:iCs/>
          <w:sz w:val="22"/>
          <w:szCs w:val="22"/>
        </w:rPr>
        <w:t>Full details of the modules will be provided in the module descriptors and on Canvas, the University’s Virtual Learning Environment (VLE).</w:t>
      </w:r>
    </w:p>
    <w:p w14:paraId="5A975629" w14:textId="688D54B3" w:rsidR="00A92C9B" w:rsidRPr="005E2E71" w:rsidRDefault="00A92C9B" w:rsidP="00A92C9B">
      <w:pPr>
        <w:rPr>
          <w:rFonts w:ascii="Arial" w:hAnsi="Arial" w:cs="Arial"/>
          <w:i/>
          <w:color w:val="FF0000"/>
        </w:rPr>
      </w:pPr>
    </w:p>
    <w:p w14:paraId="7AD151EF" w14:textId="77777777" w:rsidR="00A92C9B" w:rsidRPr="005E2E71" w:rsidRDefault="00A92C9B" w:rsidP="00A92C9B">
      <w:pPr>
        <w:numPr>
          <w:ilvl w:val="0"/>
          <w:numId w:val="1"/>
        </w:numPr>
        <w:rPr>
          <w:rFonts w:ascii="Arial" w:hAnsi="Arial" w:cs="Arial"/>
          <w:b/>
          <w:sz w:val="22"/>
          <w:szCs w:val="22"/>
        </w:rPr>
      </w:pPr>
      <w:r w:rsidRPr="005E2E71">
        <w:rPr>
          <w:rFonts w:ascii="Arial" w:hAnsi="Arial" w:cs="Arial"/>
          <w:b/>
          <w:sz w:val="22"/>
          <w:szCs w:val="22"/>
        </w:rPr>
        <w:t xml:space="preserve">Principles of Teaching, Learning and Assessment </w:t>
      </w:r>
    </w:p>
    <w:p w14:paraId="4B41455E" w14:textId="77777777" w:rsidR="00A92C9B" w:rsidRPr="005E2E71" w:rsidRDefault="00A92C9B" w:rsidP="00A92C9B">
      <w:pPr>
        <w:ind w:left="360"/>
        <w:rPr>
          <w:rFonts w:ascii="Arial" w:hAnsi="Arial" w:cs="Arial"/>
          <w:b/>
          <w:sz w:val="22"/>
          <w:szCs w:val="22"/>
        </w:rPr>
      </w:pPr>
    </w:p>
    <w:p w14:paraId="209B082F" w14:textId="74E14385" w:rsidR="006C307E" w:rsidRPr="005E2E71" w:rsidRDefault="006C307E" w:rsidP="00A92C9B">
      <w:pPr>
        <w:rPr>
          <w:rFonts w:ascii="Arial" w:hAnsi="Arial" w:cs="Arial"/>
          <w:b/>
          <w:bCs/>
          <w:iCs/>
          <w:sz w:val="22"/>
          <w:szCs w:val="22"/>
        </w:rPr>
      </w:pPr>
      <w:r w:rsidRPr="005E2E71">
        <w:rPr>
          <w:rFonts w:ascii="Arial" w:hAnsi="Arial" w:cs="Arial"/>
          <w:b/>
          <w:bCs/>
          <w:iCs/>
          <w:sz w:val="22"/>
          <w:szCs w:val="22"/>
        </w:rPr>
        <w:t>Programme design</w:t>
      </w:r>
    </w:p>
    <w:p w14:paraId="02B35746" w14:textId="26B7AB5F" w:rsidR="006C307E" w:rsidRPr="005E2E71" w:rsidRDefault="006C307E" w:rsidP="006C307E">
      <w:pPr>
        <w:rPr>
          <w:rFonts w:ascii="Arial" w:hAnsi="Arial" w:cs="Arial"/>
          <w:iCs/>
          <w:sz w:val="22"/>
          <w:szCs w:val="22"/>
        </w:rPr>
      </w:pPr>
      <w:r w:rsidRPr="005E2E71">
        <w:rPr>
          <w:rFonts w:ascii="Arial" w:hAnsi="Arial" w:cs="Arial"/>
          <w:iCs/>
          <w:sz w:val="22"/>
          <w:szCs w:val="22"/>
        </w:rPr>
        <w:t xml:space="preserve">The programme is designed to integrate theory and practice. Students engage with </w:t>
      </w:r>
      <w:proofErr w:type="gramStart"/>
      <w:r w:rsidRPr="005E2E71">
        <w:rPr>
          <w:rFonts w:ascii="Arial" w:hAnsi="Arial" w:cs="Arial"/>
          <w:iCs/>
          <w:sz w:val="22"/>
          <w:szCs w:val="22"/>
        </w:rPr>
        <w:t>a number of</w:t>
      </w:r>
      <w:proofErr w:type="gramEnd"/>
      <w:r w:rsidRPr="005E2E71">
        <w:rPr>
          <w:rFonts w:ascii="Arial" w:hAnsi="Arial" w:cs="Arial"/>
          <w:iCs/>
          <w:sz w:val="22"/>
          <w:szCs w:val="22"/>
        </w:rPr>
        <w:t xml:space="preserve"> key relationships – service users, their families and carers; lecturers, supervisors and assessors; the learning environment (university and practice); knowledge and evidence. The </w:t>
      </w:r>
      <w:r w:rsidR="006349BF" w:rsidRPr="005E2E71">
        <w:rPr>
          <w:rFonts w:ascii="Arial" w:hAnsi="Arial" w:cs="Arial"/>
          <w:iCs/>
          <w:sz w:val="22"/>
          <w:szCs w:val="22"/>
        </w:rPr>
        <w:t xml:space="preserve">Royal Pharmaceutical Society (RPS) Competency framework for all </w:t>
      </w:r>
      <w:r w:rsidR="0060343F" w:rsidRPr="005E2E71">
        <w:rPr>
          <w:rFonts w:ascii="Arial" w:hAnsi="Arial" w:cs="Arial"/>
          <w:iCs/>
          <w:sz w:val="22"/>
          <w:szCs w:val="22"/>
        </w:rPr>
        <w:t xml:space="preserve">prescribers (2021) provides </w:t>
      </w:r>
      <w:r w:rsidRPr="005E2E71">
        <w:rPr>
          <w:rFonts w:ascii="Arial" w:hAnsi="Arial" w:cs="Arial"/>
          <w:iCs/>
          <w:sz w:val="22"/>
          <w:szCs w:val="22"/>
        </w:rPr>
        <w:t>the main curriculum themes</w:t>
      </w:r>
      <w:r w:rsidR="0060343F" w:rsidRPr="005E2E71">
        <w:rPr>
          <w:rFonts w:ascii="Arial" w:hAnsi="Arial" w:cs="Arial"/>
          <w:iCs/>
          <w:sz w:val="22"/>
          <w:szCs w:val="22"/>
        </w:rPr>
        <w:t>, which are further informed by the NMC Standards for prescribing programmes (NMC, 2018</w:t>
      </w:r>
      <w:r w:rsidR="000B3320" w:rsidRPr="005E2E71">
        <w:rPr>
          <w:rFonts w:ascii="Arial" w:hAnsi="Arial" w:cs="Arial"/>
          <w:iCs/>
          <w:sz w:val="22"/>
          <w:szCs w:val="22"/>
        </w:rPr>
        <w:t>b</w:t>
      </w:r>
      <w:r w:rsidR="00202C1C" w:rsidRPr="005E2E71">
        <w:rPr>
          <w:rFonts w:ascii="Arial" w:hAnsi="Arial" w:cs="Arial"/>
          <w:iCs/>
          <w:sz w:val="22"/>
          <w:szCs w:val="22"/>
        </w:rPr>
        <w:t>).</w:t>
      </w:r>
      <w:r w:rsidR="0060343F" w:rsidRPr="005E2E71">
        <w:rPr>
          <w:rFonts w:ascii="Arial" w:hAnsi="Arial" w:cs="Arial"/>
          <w:iCs/>
          <w:sz w:val="22"/>
          <w:szCs w:val="22"/>
        </w:rPr>
        <w:t xml:space="preserve"> Key skills such as numeracy, problem </w:t>
      </w:r>
      <w:r w:rsidR="00202C1C" w:rsidRPr="005E2E71">
        <w:rPr>
          <w:rFonts w:ascii="Arial" w:hAnsi="Arial" w:cs="Arial"/>
          <w:iCs/>
          <w:sz w:val="22"/>
          <w:szCs w:val="22"/>
        </w:rPr>
        <w:t>solving,</w:t>
      </w:r>
      <w:r w:rsidR="0060343F" w:rsidRPr="005E2E71">
        <w:rPr>
          <w:rFonts w:ascii="Arial" w:hAnsi="Arial" w:cs="Arial"/>
          <w:iCs/>
          <w:sz w:val="22"/>
          <w:szCs w:val="22"/>
        </w:rPr>
        <w:t xml:space="preserve"> and </w:t>
      </w:r>
      <w:r w:rsidR="000B7490" w:rsidRPr="005E2E71">
        <w:rPr>
          <w:rFonts w:ascii="Arial" w:hAnsi="Arial" w:cs="Arial"/>
          <w:iCs/>
          <w:sz w:val="22"/>
          <w:szCs w:val="22"/>
        </w:rPr>
        <w:t>research and information literacy are also important threads enabl</w:t>
      </w:r>
      <w:r w:rsidR="00202C1C" w:rsidRPr="005E2E71">
        <w:rPr>
          <w:rFonts w:ascii="Arial" w:hAnsi="Arial" w:cs="Arial"/>
          <w:iCs/>
          <w:sz w:val="22"/>
          <w:szCs w:val="22"/>
        </w:rPr>
        <w:t>ing</w:t>
      </w:r>
      <w:r w:rsidR="000B7490" w:rsidRPr="005E2E71">
        <w:rPr>
          <w:rFonts w:ascii="Arial" w:hAnsi="Arial" w:cs="Arial"/>
          <w:iCs/>
          <w:sz w:val="22"/>
          <w:szCs w:val="22"/>
        </w:rPr>
        <w:t xml:space="preserve"> students to gain </w:t>
      </w:r>
      <w:r w:rsidR="000B7490" w:rsidRPr="005E2E71">
        <w:rPr>
          <w:rFonts w:ascii="Arial" w:hAnsi="Arial" w:cs="Arial"/>
          <w:iCs/>
          <w:sz w:val="22"/>
          <w:szCs w:val="22"/>
        </w:rPr>
        <w:lastRenderedPageBreak/>
        <w:t xml:space="preserve">mastery of the subject </w:t>
      </w:r>
      <w:r w:rsidR="009A5510" w:rsidRPr="005E2E71">
        <w:rPr>
          <w:rFonts w:ascii="Arial" w:hAnsi="Arial" w:cs="Arial"/>
          <w:iCs/>
          <w:sz w:val="22"/>
          <w:szCs w:val="22"/>
        </w:rPr>
        <w:t xml:space="preserve">and </w:t>
      </w:r>
      <w:r w:rsidR="00202C1C" w:rsidRPr="005E2E71">
        <w:rPr>
          <w:rFonts w:ascii="Arial" w:hAnsi="Arial" w:cs="Arial"/>
          <w:iCs/>
          <w:sz w:val="22"/>
          <w:szCs w:val="22"/>
        </w:rPr>
        <w:t xml:space="preserve">to </w:t>
      </w:r>
      <w:r w:rsidR="00D41C44" w:rsidRPr="005E2E71">
        <w:rPr>
          <w:rFonts w:ascii="Arial" w:hAnsi="Arial" w:cs="Arial"/>
          <w:iCs/>
          <w:sz w:val="22"/>
          <w:szCs w:val="22"/>
        </w:rPr>
        <w:t xml:space="preserve">meet </w:t>
      </w:r>
      <w:bookmarkStart w:id="1" w:name="_Hlk88463848"/>
      <w:r w:rsidR="00D41C44" w:rsidRPr="005E2E71">
        <w:rPr>
          <w:rFonts w:ascii="Arial" w:hAnsi="Arial" w:cs="Arial"/>
          <w:iCs/>
          <w:sz w:val="22"/>
          <w:szCs w:val="22"/>
        </w:rPr>
        <w:t xml:space="preserve">eligibility </w:t>
      </w:r>
      <w:bookmarkStart w:id="2" w:name="_Hlk88396696"/>
      <w:r w:rsidR="00D41C44" w:rsidRPr="005E2E71">
        <w:rPr>
          <w:rFonts w:ascii="Arial" w:hAnsi="Arial" w:cs="Arial"/>
          <w:iCs/>
          <w:sz w:val="22"/>
          <w:szCs w:val="22"/>
        </w:rPr>
        <w:t>for</w:t>
      </w:r>
      <w:r w:rsidR="00202C1C" w:rsidRPr="005E2E71">
        <w:rPr>
          <w:rFonts w:ascii="Arial" w:hAnsi="Arial" w:cs="Arial"/>
          <w:iCs/>
          <w:sz w:val="22"/>
          <w:szCs w:val="22"/>
        </w:rPr>
        <w:t xml:space="preserve"> NMC regist</w:t>
      </w:r>
      <w:r w:rsidR="00D41C44" w:rsidRPr="005E2E71">
        <w:rPr>
          <w:rFonts w:ascii="Arial" w:hAnsi="Arial" w:cs="Arial"/>
          <w:iCs/>
          <w:sz w:val="22"/>
          <w:szCs w:val="22"/>
        </w:rPr>
        <w:t>ration</w:t>
      </w:r>
      <w:r w:rsidR="00202C1C" w:rsidRPr="005E2E71">
        <w:rPr>
          <w:rFonts w:ascii="Arial" w:hAnsi="Arial" w:cs="Arial"/>
          <w:iCs/>
          <w:sz w:val="22"/>
          <w:szCs w:val="22"/>
        </w:rPr>
        <w:t xml:space="preserve"> as nurse or midwife</w:t>
      </w:r>
      <w:r w:rsidR="004830A8" w:rsidRPr="005E2E71">
        <w:rPr>
          <w:rFonts w:ascii="Arial" w:hAnsi="Arial" w:cs="Arial"/>
          <w:iCs/>
          <w:sz w:val="22"/>
          <w:szCs w:val="22"/>
        </w:rPr>
        <w:t xml:space="preserve"> independent/</w:t>
      </w:r>
      <w:r w:rsidR="00202C1C" w:rsidRPr="005E2E71">
        <w:rPr>
          <w:rFonts w:ascii="Arial" w:hAnsi="Arial" w:cs="Arial"/>
          <w:iCs/>
          <w:sz w:val="22"/>
          <w:szCs w:val="22"/>
        </w:rPr>
        <w:t xml:space="preserve"> supplementary prescriber</w:t>
      </w:r>
      <w:r w:rsidR="00D41C44" w:rsidRPr="005E2E71">
        <w:rPr>
          <w:rFonts w:ascii="Arial" w:hAnsi="Arial" w:cs="Arial"/>
          <w:iCs/>
          <w:sz w:val="22"/>
          <w:szCs w:val="22"/>
        </w:rPr>
        <w:t>s</w:t>
      </w:r>
      <w:r w:rsidR="00202C1C" w:rsidRPr="005E2E71">
        <w:rPr>
          <w:rFonts w:ascii="Arial" w:hAnsi="Arial" w:cs="Arial"/>
          <w:iCs/>
          <w:sz w:val="22"/>
          <w:szCs w:val="22"/>
        </w:rPr>
        <w:t xml:space="preserve"> (V300). </w:t>
      </w:r>
    </w:p>
    <w:bookmarkEnd w:id="1"/>
    <w:p w14:paraId="685F4728" w14:textId="13620EF9" w:rsidR="006C307E" w:rsidRPr="005E2E71" w:rsidRDefault="006C307E" w:rsidP="00A92C9B">
      <w:pPr>
        <w:rPr>
          <w:rFonts w:ascii="Arial" w:hAnsi="Arial" w:cs="Arial"/>
          <w:iCs/>
          <w:sz w:val="22"/>
          <w:szCs w:val="22"/>
        </w:rPr>
      </w:pPr>
    </w:p>
    <w:bookmarkEnd w:id="2"/>
    <w:p w14:paraId="52091FB6" w14:textId="77777777" w:rsidR="006C307E" w:rsidRPr="005E2E71" w:rsidRDefault="006C307E" w:rsidP="006C307E">
      <w:pPr>
        <w:rPr>
          <w:rFonts w:ascii="Arial" w:hAnsi="Arial" w:cs="Arial"/>
          <w:b/>
          <w:iCs/>
          <w:sz w:val="22"/>
          <w:szCs w:val="22"/>
        </w:rPr>
      </w:pPr>
      <w:r w:rsidRPr="005E2E71">
        <w:rPr>
          <w:rFonts w:ascii="Arial" w:hAnsi="Arial" w:cs="Arial"/>
          <w:b/>
          <w:iCs/>
          <w:sz w:val="22"/>
          <w:szCs w:val="22"/>
        </w:rPr>
        <w:t>Service user, carer, employer and student input to programme design and delivery</w:t>
      </w:r>
    </w:p>
    <w:p w14:paraId="4312577E" w14:textId="51205F0C" w:rsidR="006C307E" w:rsidRPr="005E2E71" w:rsidRDefault="006C307E" w:rsidP="006C307E">
      <w:pPr>
        <w:rPr>
          <w:rFonts w:ascii="Arial" w:hAnsi="Arial" w:cs="Arial"/>
          <w:iCs/>
          <w:sz w:val="22"/>
          <w:szCs w:val="22"/>
        </w:rPr>
      </w:pPr>
      <w:r w:rsidRPr="005E2E71">
        <w:rPr>
          <w:rFonts w:ascii="Arial" w:hAnsi="Arial" w:cs="Arial"/>
          <w:iCs/>
          <w:sz w:val="22"/>
          <w:szCs w:val="22"/>
        </w:rPr>
        <w:t xml:space="preserve">Practice partners, students </w:t>
      </w:r>
      <w:r w:rsidR="00D41C44" w:rsidRPr="005E2E71">
        <w:rPr>
          <w:rFonts w:ascii="Arial" w:hAnsi="Arial" w:cs="Arial"/>
          <w:iCs/>
          <w:sz w:val="22"/>
          <w:szCs w:val="22"/>
        </w:rPr>
        <w:t xml:space="preserve">and service users </w:t>
      </w:r>
      <w:r w:rsidRPr="005E2E71">
        <w:rPr>
          <w:rFonts w:ascii="Arial" w:hAnsi="Arial" w:cs="Arial"/>
          <w:iCs/>
          <w:sz w:val="22"/>
          <w:szCs w:val="22"/>
        </w:rPr>
        <w:t>have contributed to programme design through</w:t>
      </w:r>
      <w:r w:rsidR="008A7775" w:rsidRPr="005E2E71">
        <w:rPr>
          <w:rFonts w:ascii="Arial" w:hAnsi="Arial" w:cs="Arial"/>
          <w:iCs/>
          <w:sz w:val="22"/>
          <w:szCs w:val="22"/>
        </w:rPr>
        <w:t xml:space="preserve"> </w:t>
      </w:r>
      <w:r w:rsidR="004830A8" w:rsidRPr="005E2E71">
        <w:rPr>
          <w:rFonts w:ascii="Arial" w:hAnsi="Arial" w:cs="Arial"/>
          <w:iCs/>
          <w:sz w:val="22"/>
          <w:szCs w:val="22"/>
        </w:rPr>
        <w:t>consultation</w:t>
      </w:r>
      <w:r w:rsidRPr="005E2E71">
        <w:rPr>
          <w:rFonts w:ascii="Arial" w:hAnsi="Arial" w:cs="Arial"/>
          <w:iCs/>
          <w:sz w:val="22"/>
          <w:szCs w:val="22"/>
        </w:rPr>
        <w:t xml:space="preserve"> events</w:t>
      </w:r>
      <w:r w:rsidR="00933083" w:rsidRPr="005E2E71">
        <w:rPr>
          <w:rFonts w:ascii="Arial" w:hAnsi="Arial" w:cs="Arial"/>
          <w:iCs/>
          <w:sz w:val="22"/>
          <w:szCs w:val="22"/>
        </w:rPr>
        <w:t xml:space="preserve"> and other</w:t>
      </w:r>
      <w:r w:rsidR="008A7775" w:rsidRPr="005E2E71">
        <w:rPr>
          <w:rFonts w:ascii="Arial" w:hAnsi="Arial" w:cs="Arial"/>
          <w:iCs/>
          <w:sz w:val="22"/>
          <w:szCs w:val="22"/>
        </w:rPr>
        <w:t xml:space="preserve"> evaluation </w:t>
      </w:r>
      <w:r w:rsidR="00933083" w:rsidRPr="005E2E71">
        <w:rPr>
          <w:rFonts w:ascii="Arial" w:hAnsi="Arial" w:cs="Arial"/>
          <w:iCs/>
          <w:sz w:val="22"/>
          <w:szCs w:val="22"/>
        </w:rPr>
        <w:t>processes</w:t>
      </w:r>
      <w:r w:rsidRPr="005E2E71">
        <w:rPr>
          <w:rFonts w:ascii="Arial" w:hAnsi="Arial" w:cs="Arial"/>
          <w:iCs/>
          <w:sz w:val="22"/>
          <w:szCs w:val="22"/>
        </w:rPr>
        <w:t xml:space="preserve">. These have included </w:t>
      </w:r>
      <w:r w:rsidR="00FE5D2D" w:rsidRPr="005E2E71">
        <w:rPr>
          <w:rFonts w:ascii="Arial" w:hAnsi="Arial" w:cs="Arial"/>
          <w:iCs/>
          <w:sz w:val="22"/>
          <w:szCs w:val="22"/>
        </w:rPr>
        <w:t>a curriculum</w:t>
      </w:r>
      <w:r w:rsidRPr="005E2E71">
        <w:rPr>
          <w:rFonts w:ascii="Arial" w:hAnsi="Arial" w:cs="Arial"/>
          <w:iCs/>
          <w:sz w:val="22"/>
          <w:szCs w:val="22"/>
        </w:rPr>
        <w:t xml:space="preserve"> </w:t>
      </w:r>
      <w:r w:rsidR="00933083" w:rsidRPr="005E2E71">
        <w:rPr>
          <w:rFonts w:ascii="Arial" w:hAnsi="Arial" w:cs="Arial"/>
          <w:iCs/>
          <w:sz w:val="22"/>
          <w:szCs w:val="22"/>
        </w:rPr>
        <w:t>review</w:t>
      </w:r>
      <w:r w:rsidRPr="005E2E71">
        <w:rPr>
          <w:rFonts w:ascii="Arial" w:hAnsi="Arial" w:cs="Arial"/>
          <w:iCs/>
          <w:sz w:val="22"/>
          <w:szCs w:val="22"/>
        </w:rPr>
        <w:t xml:space="preserve"> meeting with local employers, a</w:t>
      </w:r>
      <w:r w:rsidR="004C524F" w:rsidRPr="005E2E71">
        <w:rPr>
          <w:rFonts w:ascii="Arial" w:hAnsi="Arial" w:cs="Arial"/>
          <w:iCs/>
          <w:sz w:val="22"/>
          <w:szCs w:val="22"/>
        </w:rPr>
        <w:t xml:space="preserve">s well as </w:t>
      </w:r>
      <w:r w:rsidR="00E82FC1" w:rsidRPr="005E2E71">
        <w:rPr>
          <w:rFonts w:ascii="Arial" w:hAnsi="Arial" w:cs="Arial"/>
          <w:iCs/>
          <w:sz w:val="22"/>
          <w:szCs w:val="22"/>
        </w:rPr>
        <w:t>consultation with</w:t>
      </w:r>
      <w:r w:rsidR="00FE5D2D" w:rsidRPr="005E2E71">
        <w:rPr>
          <w:rFonts w:ascii="Arial" w:hAnsi="Arial" w:cs="Arial"/>
          <w:iCs/>
          <w:sz w:val="22"/>
          <w:szCs w:val="22"/>
        </w:rPr>
        <w:t xml:space="preserve"> a</w:t>
      </w:r>
      <w:r w:rsidR="00D64B62" w:rsidRPr="005E2E71">
        <w:rPr>
          <w:rFonts w:ascii="Arial" w:hAnsi="Arial" w:cs="Arial"/>
          <w:iCs/>
          <w:sz w:val="22"/>
          <w:szCs w:val="22"/>
        </w:rPr>
        <w:t xml:space="preserve"> service user</w:t>
      </w:r>
      <w:r w:rsidR="00C73B6E" w:rsidRPr="005E2E71">
        <w:rPr>
          <w:rFonts w:ascii="Arial" w:hAnsi="Arial" w:cs="Arial"/>
          <w:iCs/>
          <w:sz w:val="22"/>
          <w:szCs w:val="22"/>
        </w:rPr>
        <w:t xml:space="preserve"> group representative contributing</w:t>
      </w:r>
      <w:r w:rsidR="00D64B62" w:rsidRPr="005E2E71">
        <w:rPr>
          <w:rFonts w:ascii="Arial" w:hAnsi="Arial" w:cs="Arial"/>
          <w:iCs/>
          <w:sz w:val="22"/>
          <w:szCs w:val="22"/>
        </w:rPr>
        <w:t xml:space="preserve"> to the </w:t>
      </w:r>
      <w:r w:rsidR="00EA46B5" w:rsidRPr="005E2E71">
        <w:rPr>
          <w:rFonts w:ascii="Arial" w:hAnsi="Arial" w:cs="Arial"/>
          <w:iCs/>
          <w:sz w:val="22"/>
          <w:szCs w:val="22"/>
        </w:rPr>
        <w:t>course</w:t>
      </w:r>
      <w:r w:rsidRPr="005E2E71">
        <w:rPr>
          <w:rFonts w:ascii="Arial" w:hAnsi="Arial" w:cs="Arial"/>
          <w:iCs/>
          <w:sz w:val="22"/>
          <w:szCs w:val="22"/>
        </w:rPr>
        <w:t xml:space="preserve">. </w:t>
      </w:r>
      <w:r w:rsidR="003A37D3" w:rsidRPr="005E2E71">
        <w:rPr>
          <w:rFonts w:ascii="Arial" w:hAnsi="Arial" w:cs="Arial"/>
          <w:iCs/>
          <w:sz w:val="22"/>
          <w:szCs w:val="22"/>
        </w:rPr>
        <w:t>F</w:t>
      </w:r>
      <w:r w:rsidR="00FE5D2D" w:rsidRPr="005E2E71">
        <w:rPr>
          <w:rFonts w:ascii="Arial" w:hAnsi="Arial" w:cs="Arial"/>
          <w:iCs/>
          <w:sz w:val="22"/>
          <w:szCs w:val="22"/>
        </w:rPr>
        <w:t>eedback from</w:t>
      </w:r>
      <w:r w:rsidRPr="005E2E71">
        <w:rPr>
          <w:rFonts w:ascii="Arial" w:hAnsi="Arial" w:cs="Arial"/>
          <w:iCs/>
          <w:sz w:val="22"/>
          <w:szCs w:val="22"/>
        </w:rPr>
        <w:t xml:space="preserve"> </w:t>
      </w:r>
      <w:r w:rsidR="00FE5D2D" w:rsidRPr="005E2E71">
        <w:rPr>
          <w:rFonts w:ascii="Arial" w:hAnsi="Arial" w:cs="Arial"/>
          <w:iCs/>
          <w:sz w:val="22"/>
          <w:szCs w:val="22"/>
        </w:rPr>
        <w:t xml:space="preserve">end of module student evaluations and external examiner reports </w:t>
      </w:r>
      <w:r w:rsidRPr="005E2E71">
        <w:rPr>
          <w:rFonts w:ascii="Arial" w:hAnsi="Arial" w:cs="Arial"/>
          <w:iCs/>
          <w:sz w:val="22"/>
          <w:szCs w:val="22"/>
        </w:rPr>
        <w:t xml:space="preserve">have </w:t>
      </w:r>
      <w:r w:rsidR="003A37D3" w:rsidRPr="005E2E71">
        <w:rPr>
          <w:rFonts w:ascii="Arial" w:hAnsi="Arial" w:cs="Arial"/>
          <w:iCs/>
          <w:sz w:val="22"/>
          <w:szCs w:val="22"/>
        </w:rPr>
        <w:t xml:space="preserve">also </w:t>
      </w:r>
      <w:r w:rsidRPr="005E2E71">
        <w:rPr>
          <w:rFonts w:ascii="Arial" w:hAnsi="Arial" w:cs="Arial"/>
          <w:iCs/>
          <w:sz w:val="22"/>
          <w:szCs w:val="22"/>
        </w:rPr>
        <w:t>informed the programme development</w:t>
      </w:r>
      <w:r w:rsidR="00FE5D2D" w:rsidRPr="005E2E71">
        <w:rPr>
          <w:rFonts w:ascii="Arial" w:hAnsi="Arial" w:cs="Arial"/>
          <w:iCs/>
          <w:sz w:val="22"/>
          <w:szCs w:val="22"/>
        </w:rPr>
        <w:t>.</w:t>
      </w:r>
      <w:r w:rsidRPr="005E2E71">
        <w:rPr>
          <w:rFonts w:ascii="Arial" w:hAnsi="Arial" w:cs="Arial"/>
          <w:iCs/>
          <w:sz w:val="22"/>
          <w:szCs w:val="22"/>
        </w:rPr>
        <w:t xml:space="preserve"> </w:t>
      </w:r>
    </w:p>
    <w:p w14:paraId="31B35677" w14:textId="77777777" w:rsidR="006C307E" w:rsidRPr="005E2E71" w:rsidRDefault="006C307E" w:rsidP="006C307E">
      <w:pPr>
        <w:rPr>
          <w:rFonts w:ascii="Arial" w:hAnsi="Arial" w:cs="Arial"/>
          <w:iCs/>
          <w:sz w:val="22"/>
          <w:szCs w:val="22"/>
        </w:rPr>
      </w:pPr>
    </w:p>
    <w:p w14:paraId="4808D6F7" w14:textId="6D8A9163" w:rsidR="006C307E" w:rsidRPr="005E2E71" w:rsidRDefault="006C307E" w:rsidP="006C307E">
      <w:pPr>
        <w:rPr>
          <w:rFonts w:ascii="Arial" w:hAnsi="Arial" w:cs="Arial"/>
          <w:iCs/>
          <w:sz w:val="22"/>
          <w:szCs w:val="22"/>
        </w:rPr>
      </w:pPr>
      <w:r w:rsidRPr="005E2E71">
        <w:rPr>
          <w:rFonts w:ascii="Arial" w:hAnsi="Arial" w:cs="Arial"/>
          <w:iCs/>
          <w:sz w:val="22"/>
          <w:szCs w:val="22"/>
        </w:rPr>
        <w:t xml:space="preserve">Practice partners, service users and carers participate in the delivery of the </w:t>
      </w:r>
      <w:r w:rsidR="006C5237" w:rsidRPr="005E2E71">
        <w:rPr>
          <w:rFonts w:ascii="Arial" w:hAnsi="Arial" w:cs="Arial"/>
          <w:iCs/>
          <w:sz w:val="22"/>
          <w:szCs w:val="22"/>
        </w:rPr>
        <w:t>scheduled learning and teaching across the programme</w:t>
      </w:r>
      <w:r w:rsidRPr="005E2E71">
        <w:rPr>
          <w:rFonts w:ascii="Arial" w:hAnsi="Arial" w:cs="Arial"/>
          <w:iCs/>
          <w:sz w:val="22"/>
          <w:szCs w:val="22"/>
        </w:rPr>
        <w:t xml:space="preserve">. This approach introduces a range of perspectives and assists with integration. The </w:t>
      </w:r>
      <w:r w:rsidR="005F7170" w:rsidRPr="005E2E71">
        <w:rPr>
          <w:rFonts w:ascii="Arial" w:hAnsi="Arial" w:cs="Arial"/>
          <w:iCs/>
          <w:sz w:val="22"/>
          <w:szCs w:val="22"/>
        </w:rPr>
        <w:t>programme</w:t>
      </w:r>
      <w:r w:rsidRPr="005E2E71">
        <w:rPr>
          <w:rFonts w:ascii="Arial" w:hAnsi="Arial" w:cs="Arial"/>
          <w:iCs/>
          <w:sz w:val="22"/>
          <w:szCs w:val="22"/>
        </w:rPr>
        <w:t xml:space="preserve"> includes scheduled time for service users and carers to share their lived experience</w:t>
      </w:r>
      <w:r w:rsidR="008A37AC" w:rsidRPr="005E2E71">
        <w:rPr>
          <w:rFonts w:ascii="Arial" w:hAnsi="Arial" w:cs="Arial"/>
          <w:iCs/>
          <w:sz w:val="22"/>
          <w:szCs w:val="22"/>
        </w:rPr>
        <w:t>s</w:t>
      </w:r>
      <w:r w:rsidRPr="005E2E71">
        <w:rPr>
          <w:rFonts w:ascii="Arial" w:hAnsi="Arial" w:cs="Arial"/>
          <w:iCs/>
          <w:sz w:val="22"/>
          <w:szCs w:val="22"/>
        </w:rPr>
        <w:t xml:space="preserve"> </w:t>
      </w:r>
      <w:r w:rsidR="00E57B76" w:rsidRPr="005E2E71">
        <w:rPr>
          <w:rFonts w:ascii="Arial" w:hAnsi="Arial" w:cs="Arial"/>
          <w:iCs/>
          <w:sz w:val="22"/>
          <w:szCs w:val="22"/>
        </w:rPr>
        <w:t xml:space="preserve">of prescribing consultations </w:t>
      </w:r>
      <w:r w:rsidRPr="005E2E71">
        <w:rPr>
          <w:rFonts w:ascii="Arial" w:hAnsi="Arial" w:cs="Arial"/>
          <w:iCs/>
          <w:sz w:val="22"/>
          <w:szCs w:val="22"/>
        </w:rPr>
        <w:t xml:space="preserve">within the taught content and students also receive feedback from service users and carers </w:t>
      </w:r>
      <w:r w:rsidR="006C5237" w:rsidRPr="005E2E71">
        <w:rPr>
          <w:rFonts w:ascii="Arial" w:hAnsi="Arial" w:cs="Arial"/>
          <w:iCs/>
          <w:sz w:val="22"/>
          <w:szCs w:val="22"/>
        </w:rPr>
        <w:t xml:space="preserve">within the </w:t>
      </w:r>
      <w:r w:rsidR="004D5D7B" w:rsidRPr="005E2E71">
        <w:rPr>
          <w:rFonts w:ascii="Arial" w:hAnsi="Arial" w:cs="Arial"/>
          <w:iCs/>
          <w:sz w:val="22"/>
          <w:szCs w:val="22"/>
        </w:rPr>
        <w:t>V300</w:t>
      </w:r>
      <w:r w:rsidR="005F7170" w:rsidRPr="005E2E71">
        <w:rPr>
          <w:rFonts w:ascii="Arial" w:hAnsi="Arial" w:cs="Arial"/>
          <w:iCs/>
          <w:sz w:val="22"/>
          <w:szCs w:val="22"/>
        </w:rPr>
        <w:t xml:space="preserve"> module’s </w:t>
      </w:r>
      <w:r w:rsidR="00E57B76" w:rsidRPr="005E2E71">
        <w:rPr>
          <w:rFonts w:ascii="Arial" w:hAnsi="Arial" w:cs="Arial"/>
          <w:iCs/>
          <w:sz w:val="22"/>
          <w:szCs w:val="22"/>
        </w:rPr>
        <w:t>Clinical</w:t>
      </w:r>
      <w:r w:rsidRPr="005E2E71">
        <w:rPr>
          <w:rFonts w:ascii="Arial" w:hAnsi="Arial" w:cs="Arial"/>
          <w:iCs/>
          <w:sz w:val="22"/>
          <w:szCs w:val="22"/>
        </w:rPr>
        <w:t xml:space="preserve"> Assessment Document (</w:t>
      </w:r>
      <w:r w:rsidR="00E57B76" w:rsidRPr="005E2E71">
        <w:rPr>
          <w:rFonts w:ascii="Arial" w:hAnsi="Arial" w:cs="Arial"/>
          <w:iCs/>
          <w:sz w:val="22"/>
          <w:szCs w:val="22"/>
        </w:rPr>
        <w:t>C</w:t>
      </w:r>
      <w:r w:rsidRPr="005E2E71">
        <w:rPr>
          <w:rFonts w:ascii="Arial" w:hAnsi="Arial" w:cs="Arial"/>
          <w:iCs/>
          <w:sz w:val="22"/>
          <w:szCs w:val="22"/>
        </w:rPr>
        <w:t>AD)</w:t>
      </w:r>
      <w:r w:rsidR="004D5D7B" w:rsidRPr="005E2E71">
        <w:rPr>
          <w:rFonts w:ascii="Arial" w:hAnsi="Arial" w:cs="Arial"/>
          <w:iCs/>
          <w:sz w:val="22"/>
          <w:szCs w:val="22"/>
        </w:rPr>
        <w:t xml:space="preserve"> and </w:t>
      </w:r>
      <w:r w:rsidR="007071F0" w:rsidRPr="005E2E71">
        <w:rPr>
          <w:rFonts w:ascii="Arial" w:hAnsi="Arial" w:cs="Arial"/>
          <w:iCs/>
          <w:sz w:val="22"/>
          <w:szCs w:val="22"/>
        </w:rPr>
        <w:t>the</w:t>
      </w:r>
      <w:r w:rsidR="00E57B76" w:rsidRPr="005E2E71">
        <w:rPr>
          <w:rFonts w:ascii="Arial" w:hAnsi="Arial" w:cs="Arial"/>
          <w:iCs/>
          <w:sz w:val="22"/>
          <w:szCs w:val="22"/>
        </w:rPr>
        <w:t xml:space="preserve"> ACRHA</w:t>
      </w:r>
      <w:r w:rsidR="007071F0" w:rsidRPr="005E2E71">
        <w:rPr>
          <w:rFonts w:ascii="Arial" w:hAnsi="Arial" w:cs="Arial"/>
          <w:iCs/>
          <w:sz w:val="22"/>
          <w:szCs w:val="22"/>
        </w:rPr>
        <w:t xml:space="preserve"> module’s </w:t>
      </w:r>
      <w:r w:rsidR="00E57B76" w:rsidRPr="005E2E71">
        <w:rPr>
          <w:rFonts w:ascii="Arial" w:hAnsi="Arial" w:cs="Arial"/>
          <w:iCs/>
          <w:sz w:val="22"/>
          <w:szCs w:val="22"/>
        </w:rPr>
        <w:t xml:space="preserve">formative </w:t>
      </w:r>
      <w:r w:rsidR="004D5D7B" w:rsidRPr="005E2E71">
        <w:rPr>
          <w:rFonts w:ascii="Arial" w:hAnsi="Arial" w:cs="Arial"/>
          <w:iCs/>
          <w:sz w:val="22"/>
          <w:szCs w:val="22"/>
        </w:rPr>
        <w:t>OSCE assessments</w:t>
      </w:r>
      <w:r w:rsidRPr="005E2E71">
        <w:rPr>
          <w:rFonts w:ascii="Arial" w:hAnsi="Arial" w:cs="Arial"/>
          <w:iCs/>
          <w:sz w:val="22"/>
          <w:szCs w:val="22"/>
        </w:rPr>
        <w:t xml:space="preserve">. In addition, an annual stakeholder event, including </w:t>
      </w:r>
      <w:r w:rsidR="005F7170" w:rsidRPr="005E2E71">
        <w:rPr>
          <w:rFonts w:ascii="Arial" w:hAnsi="Arial" w:cs="Arial"/>
          <w:iCs/>
          <w:sz w:val="22"/>
          <w:szCs w:val="22"/>
        </w:rPr>
        <w:t>alumni and</w:t>
      </w:r>
      <w:r w:rsidRPr="005E2E71">
        <w:rPr>
          <w:rFonts w:ascii="Arial" w:hAnsi="Arial" w:cs="Arial"/>
          <w:iCs/>
          <w:sz w:val="22"/>
          <w:szCs w:val="22"/>
        </w:rPr>
        <w:t xml:space="preserve"> practice partners</w:t>
      </w:r>
      <w:r w:rsidR="005F7170" w:rsidRPr="005E2E71">
        <w:rPr>
          <w:rFonts w:ascii="Arial" w:hAnsi="Arial" w:cs="Arial"/>
          <w:iCs/>
          <w:sz w:val="22"/>
          <w:szCs w:val="22"/>
        </w:rPr>
        <w:t xml:space="preserve"> </w:t>
      </w:r>
      <w:r w:rsidRPr="005E2E71">
        <w:rPr>
          <w:rFonts w:ascii="Arial" w:hAnsi="Arial" w:cs="Arial"/>
          <w:iCs/>
          <w:sz w:val="22"/>
          <w:szCs w:val="22"/>
        </w:rPr>
        <w:t xml:space="preserve">reviews the quality of the programme and agrees actions. The School of Nursing’s Service User and Carer Involvement strategy provides more detailed information. </w:t>
      </w:r>
    </w:p>
    <w:p w14:paraId="3EE7EA8A" w14:textId="77777777" w:rsidR="006C307E" w:rsidRPr="005E2E71" w:rsidRDefault="006C307E" w:rsidP="006C307E">
      <w:pPr>
        <w:rPr>
          <w:rFonts w:ascii="Arial" w:hAnsi="Arial" w:cs="Arial"/>
          <w:b/>
          <w:iCs/>
          <w:sz w:val="22"/>
          <w:szCs w:val="22"/>
        </w:rPr>
      </w:pPr>
    </w:p>
    <w:p w14:paraId="22C16171" w14:textId="2619F1DB" w:rsidR="006C307E" w:rsidRPr="005E2E71" w:rsidRDefault="006C307E" w:rsidP="006C307E">
      <w:pPr>
        <w:rPr>
          <w:rFonts w:ascii="Arial" w:hAnsi="Arial" w:cs="Arial"/>
          <w:b/>
          <w:iCs/>
          <w:sz w:val="22"/>
          <w:szCs w:val="22"/>
        </w:rPr>
      </w:pPr>
      <w:r w:rsidRPr="005E2E71">
        <w:rPr>
          <w:rFonts w:ascii="Arial" w:hAnsi="Arial" w:cs="Arial"/>
          <w:b/>
          <w:iCs/>
          <w:sz w:val="22"/>
          <w:szCs w:val="22"/>
        </w:rPr>
        <w:t>Teaching and learning</w:t>
      </w:r>
    </w:p>
    <w:p w14:paraId="1F531FFB" w14:textId="34CAF087" w:rsidR="0032490B" w:rsidRPr="005E2E71" w:rsidRDefault="006C307E" w:rsidP="006C307E">
      <w:pPr>
        <w:rPr>
          <w:rFonts w:ascii="Arial" w:hAnsi="Arial" w:cs="Arial"/>
          <w:iCs/>
          <w:sz w:val="22"/>
          <w:szCs w:val="22"/>
        </w:rPr>
      </w:pPr>
      <w:r w:rsidRPr="005E2E71">
        <w:rPr>
          <w:rFonts w:ascii="Arial" w:hAnsi="Arial" w:cs="Arial"/>
          <w:iCs/>
          <w:sz w:val="22"/>
          <w:szCs w:val="22"/>
        </w:rPr>
        <w:t xml:space="preserve">Teaching and learning are delivered through the integration of a variety of face-to-face </w:t>
      </w:r>
      <w:r w:rsidR="00A27EFB" w:rsidRPr="005E2E71">
        <w:rPr>
          <w:rFonts w:ascii="Arial" w:hAnsi="Arial" w:cs="Arial"/>
          <w:iCs/>
          <w:sz w:val="22"/>
          <w:szCs w:val="22"/>
        </w:rPr>
        <w:t>on-campus activities</w:t>
      </w:r>
      <w:r w:rsidRPr="005E2E71">
        <w:rPr>
          <w:rFonts w:ascii="Arial" w:hAnsi="Arial" w:cs="Arial"/>
          <w:iCs/>
          <w:sz w:val="22"/>
          <w:szCs w:val="22"/>
        </w:rPr>
        <w:t xml:space="preserve">, as well as </w:t>
      </w:r>
      <w:r w:rsidR="00445272" w:rsidRPr="005E2E71">
        <w:rPr>
          <w:rFonts w:ascii="Arial" w:hAnsi="Arial" w:cs="Arial"/>
          <w:iCs/>
          <w:sz w:val="22"/>
          <w:szCs w:val="22"/>
        </w:rPr>
        <w:t xml:space="preserve">synchronous and asynchronous </w:t>
      </w:r>
      <w:r w:rsidRPr="005E2E71">
        <w:rPr>
          <w:rFonts w:ascii="Arial" w:hAnsi="Arial" w:cs="Arial"/>
          <w:iCs/>
          <w:sz w:val="22"/>
          <w:szCs w:val="22"/>
        </w:rPr>
        <w:t xml:space="preserve">online activities, supported by </w:t>
      </w:r>
      <w:r w:rsidR="008A37AC" w:rsidRPr="005E2E71">
        <w:rPr>
          <w:rFonts w:ascii="Arial" w:hAnsi="Arial" w:cs="Arial"/>
          <w:iCs/>
          <w:sz w:val="22"/>
          <w:szCs w:val="22"/>
        </w:rPr>
        <w:t>Canvas</w:t>
      </w:r>
      <w:r w:rsidR="00CA2672" w:rsidRPr="005E2E71">
        <w:rPr>
          <w:rFonts w:ascii="Arial" w:hAnsi="Arial" w:cs="Arial"/>
          <w:iCs/>
          <w:sz w:val="22"/>
          <w:szCs w:val="22"/>
        </w:rPr>
        <w:t xml:space="preserve">, </w:t>
      </w:r>
      <w:r w:rsidR="00445272" w:rsidRPr="005E2E71">
        <w:rPr>
          <w:rFonts w:ascii="Arial" w:hAnsi="Arial" w:cs="Arial"/>
          <w:iCs/>
          <w:sz w:val="22"/>
          <w:szCs w:val="22"/>
        </w:rPr>
        <w:t xml:space="preserve">and </w:t>
      </w:r>
      <w:r w:rsidR="001710BF" w:rsidRPr="005E2E71">
        <w:rPr>
          <w:rFonts w:ascii="Arial" w:hAnsi="Arial" w:cs="Arial"/>
          <w:iCs/>
          <w:sz w:val="22"/>
          <w:szCs w:val="22"/>
        </w:rPr>
        <w:t>web-conferencing tool (</w:t>
      </w:r>
      <w:r w:rsidR="00445272" w:rsidRPr="005E2E71">
        <w:rPr>
          <w:rFonts w:ascii="Arial" w:hAnsi="Arial" w:cs="Arial"/>
          <w:iCs/>
          <w:sz w:val="22"/>
          <w:szCs w:val="22"/>
        </w:rPr>
        <w:t>MS Teams</w:t>
      </w:r>
      <w:r w:rsidR="001710BF" w:rsidRPr="005E2E71">
        <w:rPr>
          <w:rFonts w:ascii="Arial" w:hAnsi="Arial" w:cs="Arial"/>
          <w:iCs/>
          <w:sz w:val="22"/>
          <w:szCs w:val="22"/>
        </w:rPr>
        <w:t>)</w:t>
      </w:r>
      <w:r w:rsidRPr="005E2E71">
        <w:rPr>
          <w:rFonts w:ascii="Arial" w:hAnsi="Arial" w:cs="Arial"/>
          <w:iCs/>
          <w:sz w:val="22"/>
          <w:szCs w:val="22"/>
        </w:rPr>
        <w:t xml:space="preserve">. </w:t>
      </w:r>
      <w:r w:rsidR="0032490B" w:rsidRPr="005E2E71">
        <w:rPr>
          <w:rFonts w:ascii="Arial" w:hAnsi="Arial" w:cs="Arial"/>
          <w:iCs/>
          <w:sz w:val="22"/>
          <w:szCs w:val="22"/>
        </w:rPr>
        <w:t xml:space="preserve">The blended learning design is </w:t>
      </w:r>
      <w:r w:rsidR="00937A5F" w:rsidRPr="005E2E71">
        <w:rPr>
          <w:rFonts w:ascii="Arial" w:hAnsi="Arial" w:cs="Arial"/>
          <w:iCs/>
          <w:sz w:val="22"/>
          <w:szCs w:val="22"/>
        </w:rPr>
        <w:t>student centred and underpinned</w:t>
      </w:r>
      <w:r w:rsidR="0032490B" w:rsidRPr="005E2E71">
        <w:rPr>
          <w:rFonts w:ascii="Arial" w:hAnsi="Arial" w:cs="Arial"/>
          <w:iCs/>
          <w:sz w:val="22"/>
          <w:szCs w:val="22"/>
        </w:rPr>
        <w:t xml:space="preserve"> by </w:t>
      </w:r>
      <w:r w:rsidR="00DB58F2" w:rsidRPr="005E2E71">
        <w:rPr>
          <w:rFonts w:ascii="Arial" w:hAnsi="Arial" w:cs="Arial"/>
          <w:iCs/>
          <w:sz w:val="22"/>
          <w:szCs w:val="22"/>
        </w:rPr>
        <w:t>both</w:t>
      </w:r>
      <w:r w:rsidR="00937A5F" w:rsidRPr="005E2E71">
        <w:rPr>
          <w:rFonts w:ascii="Arial" w:hAnsi="Arial" w:cs="Arial"/>
          <w:iCs/>
          <w:sz w:val="22"/>
          <w:szCs w:val="22"/>
        </w:rPr>
        <w:t xml:space="preserve"> </w:t>
      </w:r>
      <w:r w:rsidR="007B4B14" w:rsidRPr="005E2E71">
        <w:rPr>
          <w:rFonts w:ascii="Arial" w:hAnsi="Arial" w:cs="Arial"/>
          <w:iCs/>
          <w:sz w:val="22"/>
          <w:szCs w:val="22"/>
        </w:rPr>
        <w:t xml:space="preserve">the </w:t>
      </w:r>
      <w:r w:rsidR="00937A5F" w:rsidRPr="005E2E71">
        <w:rPr>
          <w:rFonts w:ascii="Arial" w:hAnsi="Arial" w:cs="Arial"/>
          <w:iCs/>
          <w:sz w:val="22"/>
          <w:szCs w:val="22"/>
        </w:rPr>
        <w:t xml:space="preserve">ABC Curriculum </w:t>
      </w:r>
      <w:r w:rsidR="007B4B14" w:rsidRPr="005E2E71">
        <w:rPr>
          <w:rFonts w:ascii="Arial" w:hAnsi="Arial" w:cs="Arial"/>
          <w:iCs/>
          <w:sz w:val="22"/>
          <w:szCs w:val="22"/>
        </w:rPr>
        <w:t>(</w:t>
      </w:r>
      <w:r w:rsidR="0006194C" w:rsidRPr="005E2E71">
        <w:rPr>
          <w:rFonts w:ascii="Arial" w:hAnsi="Arial" w:cs="Arial"/>
          <w:iCs/>
          <w:sz w:val="22"/>
          <w:szCs w:val="22"/>
        </w:rPr>
        <w:t>Young and Perovic, 2016</w:t>
      </w:r>
      <w:r w:rsidR="007B4B14" w:rsidRPr="005E2E71">
        <w:rPr>
          <w:rFonts w:ascii="Arial" w:hAnsi="Arial" w:cs="Arial"/>
          <w:iCs/>
          <w:sz w:val="22"/>
          <w:szCs w:val="22"/>
        </w:rPr>
        <w:t xml:space="preserve">) </w:t>
      </w:r>
      <w:r w:rsidR="00937A5F" w:rsidRPr="005E2E71">
        <w:rPr>
          <w:rFonts w:ascii="Arial" w:hAnsi="Arial" w:cs="Arial"/>
          <w:iCs/>
          <w:sz w:val="22"/>
          <w:szCs w:val="22"/>
        </w:rPr>
        <w:t xml:space="preserve">and </w:t>
      </w:r>
      <w:r w:rsidR="007B4B14" w:rsidRPr="005E2E71">
        <w:rPr>
          <w:rFonts w:ascii="Arial" w:hAnsi="Arial" w:cs="Arial"/>
          <w:iCs/>
          <w:sz w:val="22"/>
          <w:szCs w:val="22"/>
        </w:rPr>
        <w:t xml:space="preserve">the Community of </w:t>
      </w:r>
      <w:r w:rsidR="00E86F87" w:rsidRPr="005E2E71">
        <w:rPr>
          <w:rFonts w:ascii="Arial" w:hAnsi="Arial" w:cs="Arial"/>
          <w:iCs/>
          <w:sz w:val="22"/>
          <w:szCs w:val="22"/>
        </w:rPr>
        <w:t>I</w:t>
      </w:r>
      <w:r w:rsidR="007B4B14" w:rsidRPr="005E2E71">
        <w:rPr>
          <w:rFonts w:ascii="Arial" w:hAnsi="Arial" w:cs="Arial"/>
          <w:iCs/>
          <w:sz w:val="22"/>
          <w:szCs w:val="22"/>
        </w:rPr>
        <w:t xml:space="preserve">nquiry Model (Garrison, </w:t>
      </w:r>
      <w:proofErr w:type="gramStart"/>
      <w:r w:rsidR="007B4B14" w:rsidRPr="005E2E71">
        <w:rPr>
          <w:rFonts w:ascii="Arial" w:hAnsi="Arial" w:cs="Arial"/>
          <w:iCs/>
          <w:sz w:val="22"/>
          <w:szCs w:val="22"/>
        </w:rPr>
        <w:t>Anderson</w:t>
      </w:r>
      <w:proofErr w:type="gramEnd"/>
      <w:r w:rsidR="007B4B14" w:rsidRPr="005E2E71">
        <w:rPr>
          <w:rFonts w:ascii="Arial" w:hAnsi="Arial" w:cs="Arial"/>
          <w:iCs/>
          <w:sz w:val="22"/>
          <w:szCs w:val="22"/>
        </w:rPr>
        <w:t xml:space="preserve"> and Archer, 2000) </w:t>
      </w:r>
      <w:r w:rsidR="00713036" w:rsidRPr="005E2E71">
        <w:rPr>
          <w:rFonts w:ascii="Arial" w:hAnsi="Arial" w:cs="Arial"/>
          <w:iCs/>
          <w:sz w:val="22"/>
          <w:szCs w:val="22"/>
        </w:rPr>
        <w:t xml:space="preserve">design principles, </w:t>
      </w:r>
      <w:r w:rsidR="007B4B14" w:rsidRPr="005E2E71">
        <w:rPr>
          <w:rFonts w:ascii="Arial" w:hAnsi="Arial" w:cs="Arial"/>
          <w:iCs/>
          <w:sz w:val="22"/>
          <w:szCs w:val="22"/>
        </w:rPr>
        <w:t xml:space="preserve">which </w:t>
      </w:r>
      <w:r w:rsidR="00A83F9F" w:rsidRPr="005E2E71">
        <w:rPr>
          <w:rFonts w:ascii="Arial" w:hAnsi="Arial" w:cs="Arial"/>
          <w:iCs/>
          <w:sz w:val="22"/>
          <w:szCs w:val="22"/>
        </w:rPr>
        <w:t>highligh</w:t>
      </w:r>
      <w:r w:rsidR="00713036" w:rsidRPr="005E2E71">
        <w:rPr>
          <w:rFonts w:ascii="Arial" w:hAnsi="Arial" w:cs="Arial"/>
          <w:iCs/>
          <w:sz w:val="22"/>
          <w:szCs w:val="22"/>
        </w:rPr>
        <w:t>t</w:t>
      </w:r>
      <w:r w:rsidR="00A83F9F" w:rsidRPr="005E2E71">
        <w:rPr>
          <w:rFonts w:ascii="Arial" w:hAnsi="Arial" w:cs="Arial"/>
          <w:iCs/>
          <w:sz w:val="22"/>
          <w:szCs w:val="22"/>
        </w:rPr>
        <w:t xml:space="preserve"> the importance of </w:t>
      </w:r>
      <w:r w:rsidR="00713036" w:rsidRPr="005E2E71">
        <w:rPr>
          <w:rFonts w:ascii="Arial" w:hAnsi="Arial" w:cs="Arial"/>
          <w:iCs/>
          <w:sz w:val="22"/>
          <w:szCs w:val="22"/>
        </w:rPr>
        <w:t xml:space="preserve">integrating a variety of active learning </w:t>
      </w:r>
      <w:r w:rsidR="00D930B6" w:rsidRPr="005E2E71">
        <w:rPr>
          <w:rFonts w:ascii="Arial" w:hAnsi="Arial" w:cs="Arial"/>
          <w:iCs/>
          <w:sz w:val="22"/>
          <w:szCs w:val="22"/>
        </w:rPr>
        <w:t>types and</w:t>
      </w:r>
      <w:r w:rsidR="008A37AC" w:rsidRPr="005E2E71">
        <w:rPr>
          <w:rFonts w:ascii="Arial" w:hAnsi="Arial" w:cs="Arial"/>
          <w:iCs/>
          <w:sz w:val="22"/>
          <w:szCs w:val="22"/>
        </w:rPr>
        <w:t xml:space="preserve"> </w:t>
      </w:r>
      <w:r w:rsidR="001948FF" w:rsidRPr="005E2E71">
        <w:rPr>
          <w:rFonts w:ascii="Arial" w:hAnsi="Arial" w:cs="Arial"/>
          <w:iCs/>
          <w:sz w:val="22"/>
          <w:szCs w:val="22"/>
        </w:rPr>
        <w:t>cultivating</w:t>
      </w:r>
      <w:r w:rsidR="00313620" w:rsidRPr="005E2E71">
        <w:rPr>
          <w:rFonts w:ascii="Arial" w:hAnsi="Arial" w:cs="Arial"/>
          <w:iCs/>
          <w:sz w:val="22"/>
          <w:szCs w:val="22"/>
        </w:rPr>
        <w:t xml:space="preserve"> the relational aspects of learning. </w:t>
      </w:r>
      <w:r w:rsidR="001948FF" w:rsidRPr="005E2E71">
        <w:rPr>
          <w:rFonts w:ascii="Arial" w:hAnsi="Arial" w:cs="Arial"/>
          <w:iCs/>
          <w:sz w:val="22"/>
          <w:szCs w:val="22"/>
        </w:rPr>
        <w:t>Th</w:t>
      </w:r>
      <w:r w:rsidR="00D930B6" w:rsidRPr="005E2E71">
        <w:rPr>
          <w:rFonts w:ascii="Arial" w:hAnsi="Arial" w:cs="Arial"/>
          <w:iCs/>
          <w:sz w:val="22"/>
          <w:szCs w:val="22"/>
        </w:rPr>
        <w:t xml:space="preserve">is </w:t>
      </w:r>
      <w:r w:rsidR="00660242" w:rsidRPr="005E2E71">
        <w:rPr>
          <w:rFonts w:ascii="Arial" w:hAnsi="Arial" w:cs="Arial"/>
          <w:iCs/>
          <w:sz w:val="22"/>
          <w:szCs w:val="22"/>
        </w:rPr>
        <w:t>approach</w:t>
      </w:r>
      <w:r w:rsidR="00D930B6" w:rsidRPr="005E2E71">
        <w:rPr>
          <w:rFonts w:ascii="Arial" w:hAnsi="Arial" w:cs="Arial"/>
          <w:iCs/>
          <w:sz w:val="22"/>
          <w:szCs w:val="22"/>
        </w:rPr>
        <w:t xml:space="preserve"> is</w:t>
      </w:r>
      <w:r w:rsidR="001948FF" w:rsidRPr="005E2E71">
        <w:rPr>
          <w:rFonts w:ascii="Arial" w:hAnsi="Arial" w:cs="Arial"/>
          <w:iCs/>
          <w:sz w:val="22"/>
          <w:szCs w:val="22"/>
        </w:rPr>
        <w:t xml:space="preserve"> reflected throughout the programme with activities such as </w:t>
      </w:r>
      <w:r w:rsidR="00660242" w:rsidRPr="005E2E71">
        <w:rPr>
          <w:rFonts w:ascii="Arial" w:hAnsi="Arial" w:cs="Arial"/>
          <w:iCs/>
          <w:sz w:val="22"/>
          <w:szCs w:val="22"/>
        </w:rPr>
        <w:t>problem-based</w:t>
      </w:r>
      <w:r w:rsidR="00A5317C" w:rsidRPr="005E2E71">
        <w:rPr>
          <w:rFonts w:ascii="Arial" w:hAnsi="Arial" w:cs="Arial"/>
          <w:iCs/>
          <w:sz w:val="22"/>
          <w:szCs w:val="22"/>
        </w:rPr>
        <w:t xml:space="preserve"> learning, </w:t>
      </w:r>
      <w:r w:rsidR="00660242" w:rsidRPr="005E2E71">
        <w:rPr>
          <w:rFonts w:ascii="Arial" w:hAnsi="Arial" w:cs="Arial"/>
          <w:iCs/>
          <w:sz w:val="22"/>
          <w:szCs w:val="22"/>
        </w:rPr>
        <w:t xml:space="preserve">case scenarios, </w:t>
      </w:r>
      <w:r w:rsidR="00A5317C" w:rsidRPr="005E2E71">
        <w:rPr>
          <w:rFonts w:ascii="Arial" w:hAnsi="Arial" w:cs="Arial"/>
          <w:iCs/>
          <w:sz w:val="22"/>
          <w:szCs w:val="22"/>
        </w:rPr>
        <w:t>practical sessions</w:t>
      </w:r>
      <w:r w:rsidR="001948FF" w:rsidRPr="005E2E71">
        <w:rPr>
          <w:rFonts w:ascii="Arial" w:hAnsi="Arial" w:cs="Arial"/>
          <w:iCs/>
          <w:sz w:val="22"/>
          <w:szCs w:val="22"/>
        </w:rPr>
        <w:t xml:space="preserve">, </w:t>
      </w:r>
      <w:r w:rsidR="00A5317C" w:rsidRPr="005E2E71">
        <w:rPr>
          <w:rFonts w:ascii="Arial" w:hAnsi="Arial" w:cs="Arial"/>
          <w:iCs/>
          <w:sz w:val="22"/>
          <w:szCs w:val="22"/>
        </w:rPr>
        <w:t>critical reflective</w:t>
      </w:r>
      <w:r w:rsidR="00073713" w:rsidRPr="005E2E71">
        <w:rPr>
          <w:rFonts w:ascii="Arial" w:hAnsi="Arial" w:cs="Arial"/>
          <w:iCs/>
          <w:sz w:val="22"/>
          <w:szCs w:val="22"/>
        </w:rPr>
        <w:t xml:space="preserve"> discussion, </w:t>
      </w:r>
      <w:proofErr w:type="gramStart"/>
      <w:r w:rsidR="00073713" w:rsidRPr="005E2E71">
        <w:rPr>
          <w:rFonts w:ascii="Arial" w:hAnsi="Arial" w:cs="Arial"/>
          <w:iCs/>
          <w:sz w:val="22"/>
          <w:szCs w:val="22"/>
        </w:rPr>
        <w:t>workbooks</w:t>
      </w:r>
      <w:proofErr w:type="gramEnd"/>
      <w:r w:rsidR="00A5317C" w:rsidRPr="005E2E71">
        <w:rPr>
          <w:rFonts w:ascii="Arial" w:hAnsi="Arial" w:cs="Arial"/>
          <w:iCs/>
          <w:sz w:val="22"/>
          <w:szCs w:val="22"/>
        </w:rPr>
        <w:t xml:space="preserve"> and quizzes. </w:t>
      </w:r>
      <w:r w:rsidR="00660242" w:rsidRPr="005E2E71">
        <w:rPr>
          <w:rFonts w:ascii="Arial" w:hAnsi="Arial" w:cs="Arial"/>
          <w:iCs/>
          <w:sz w:val="22"/>
          <w:szCs w:val="22"/>
        </w:rPr>
        <w:t xml:space="preserve">The production of weekly tasks or outputs during the V300 module, also helps students to keep on track with the learning and </w:t>
      </w:r>
      <w:r w:rsidR="002D42DF" w:rsidRPr="005E2E71">
        <w:rPr>
          <w:rFonts w:ascii="Arial" w:hAnsi="Arial" w:cs="Arial"/>
          <w:iCs/>
          <w:sz w:val="22"/>
          <w:szCs w:val="22"/>
        </w:rPr>
        <w:t>gain feedback on their</w:t>
      </w:r>
      <w:r w:rsidR="00660242" w:rsidRPr="005E2E71">
        <w:rPr>
          <w:rFonts w:ascii="Arial" w:hAnsi="Arial" w:cs="Arial"/>
          <w:iCs/>
          <w:sz w:val="22"/>
          <w:szCs w:val="22"/>
        </w:rPr>
        <w:t xml:space="preserve"> </w:t>
      </w:r>
      <w:r w:rsidR="002D42DF" w:rsidRPr="005E2E71">
        <w:rPr>
          <w:rFonts w:ascii="Arial" w:hAnsi="Arial" w:cs="Arial"/>
          <w:iCs/>
          <w:sz w:val="22"/>
          <w:szCs w:val="22"/>
        </w:rPr>
        <w:t xml:space="preserve">understanding of key topics. </w:t>
      </w:r>
    </w:p>
    <w:p w14:paraId="0AF7F1A2" w14:textId="77777777" w:rsidR="0032490B" w:rsidRPr="005E2E71" w:rsidRDefault="0032490B" w:rsidP="006C307E">
      <w:pPr>
        <w:rPr>
          <w:rFonts w:ascii="Arial" w:hAnsi="Arial" w:cs="Arial"/>
          <w:iCs/>
          <w:sz w:val="22"/>
          <w:szCs w:val="22"/>
        </w:rPr>
      </w:pPr>
    </w:p>
    <w:p w14:paraId="543A2638" w14:textId="0B785D17" w:rsidR="006C307E" w:rsidRPr="005E2E71" w:rsidRDefault="006C307E" w:rsidP="006C307E">
      <w:pPr>
        <w:rPr>
          <w:rFonts w:ascii="Arial" w:hAnsi="Arial" w:cs="Arial"/>
          <w:iCs/>
          <w:sz w:val="22"/>
          <w:szCs w:val="22"/>
        </w:rPr>
      </w:pPr>
      <w:r w:rsidRPr="005E2E71">
        <w:rPr>
          <w:rFonts w:ascii="Arial" w:hAnsi="Arial" w:cs="Arial"/>
          <w:iCs/>
          <w:sz w:val="22"/>
          <w:szCs w:val="22"/>
        </w:rPr>
        <w:t xml:space="preserve">Academic writing and critical thinking skills are developed through ‘The Critical Thinking Skills Toolkit’ activities that have been designed to </w:t>
      </w:r>
      <w:r w:rsidR="00BD5DDE" w:rsidRPr="005E2E71">
        <w:rPr>
          <w:rFonts w:ascii="Arial" w:hAnsi="Arial" w:cs="Arial"/>
          <w:iCs/>
          <w:sz w:val="22"/>
          <w:szCs w:val="22"/>
        </w:rPr>
        <w:t>nurture</w:t>
      </w:r>
      <w:r w:rsidRPr="005E2E71">
        <w:rPr>
          <w:rFonts w:ascii="Arial" w:hAnsi="Arial" w:cs="Arial"/>
          <w:iCs/>
          <w:sz w:val="22"/>
          <w:szCs w:val="22"/>
        </w:rPr>
        <w:t xml:space="preserve"> the skills needed to facilitate the student to become a thoughtful, </w:t>
      </w:r>
      <w:proofErr w:type="gramStart"/>
      <w:r w:rsidRPr="005E2E71">
        <w:rPr>
          <w:rFonts w:ascii="Arial" w:hAnsi="Arial" w:cs="Arial"/>
          <w:iCs/>
          <w:sz w:val="22"/>
          <w:szCs w:val="22"/>
        </w:rPr>
        <w:t>objective</w:t>
      </w:r>
      <w:proofErr w:type="gramEnd"/>
      <w:r w:rsidRPr="005E2E71">
        <w:rPr>
          <w:rFonts w:ascii="Arial" w:hAnsi="Arial" w:cs="Arial"/>
          <w:iCs/>
          <w:sz w:val="22"/>
          <w:szCs w:val="22"/>
        </w:rPr>
        <w:t xml:space="preserve"> and reasoned thinker. This will help students to tackle the academic assignment</w:t>
      </w:r>
      <w:r w:rsidR="001710BF" w:rsidRPr="005E2E71">
        <w:rPr>
          <w:rFonts w:ascii="Arial" w:hAnsi="Arial" w:cs="Arial"/>
          <w:iCs/>
          <w:sz w:val="22"/>
          <w:szCs w:val="22"/>
        </w:rPr>
        <w:t>s</w:t>
      </w:r>
      <w:r w:rsidRPr="005E2E71">
        <w:rPr>
          <w:rFonts w:ascii="Arial" w:hAnsi="Arial" w:cs="Arial"/>
          <w:iCs/>
          <w:sz w:val="22"/>
          <w:szCs w:val="22"/>
        </w:rPr>
        <w:t xml:space="preserve"> confidently, understand marking criteria, use evidence, take a reasoned approach, make structured </w:t>
      </w:r>
      <w:proofErr w:type="gramStart"/>
      <w:r w:rsidRPr="005E2E71">
        <w:rPr>
          <w:rFonts w:ascii="Arial" w:hAnsi="Arial" w:cs="Arial"/>
          <w:iCs/>
          <w:sz w:val="22"/>
          <w:szCs w:val="22"/>
        </w:rPr>
        <w:t>arguments</w:t>
      </w:r>
      <w:proofErr w:type="gramEnd"/>
      <w:r w:rsidRPr="005E2E71">
        <w:rPr>
          <w:rFonts w:ascii="Arial" w:hAnsi="Arial" w:cs="Arial"/>
          <w:iCs/>
          <w:sz w:val="22"/>
          <w:szCs w:val="22"/>
        </w:rPr>
        <w:t xml:space="preserve"> and engage with other points of view. Students benefit from interdisciplinary learning, both </w:t>
      </w:r>
      <w:r w:rsidR="00A27EFB" w:rsidRPr="005E2E71">
        <w:rPr>
          <w:rFonts w:ascii="Arial" w:hAnsi="Arial" w:cs="Arial"/>
          <w:iCs/>
          <w:sz w:val="22"/>
          <w:szCs w:val="22"/>
        </w:rPr>
        <w:t>through guest speakers</w:t>
      </w:r>
      <w:r w:rsidRPr="005E2E71">
        <w:rPr>
          <w:rFonts w:ascii="Arial" w:hAnsi="Arial" w:cs="Arial"/>
          <w:iCs/>
          <w:sz w:val="22"/>
          <w:szCs w:val="22"/>
        </w:rPr>
        <w:t xml:space="preserve"> </w:t>
      </w:r>
      <w:r w:rsidR="00A27EFB" w:rsidRPr="005E2E71">
        <w:rPr>
          <w:rFonts w:ascii="Arial" w:hAnsi="Arial" w:cs="Arial"/>
          <w:iCs/>
          <w:sz w:val="22"/>
          <w:szCs w:val="22"/>
        </w:rPr>
        <w:t xml:space="preserve">such as pharmacists, </w:t>
      </w:r>
      <w:r w:rsidRPr="005E2E71">
        <w:rPr>
          <w:rFonts w:ascii="Arial" w:hAnsi="Arial" w:cs="Arial"/>
          <w:iCs/>
          <w:sz w:val="22"/>
          <w:szCs w:val="22"/>
        </w:rPr>
        <w:t>as well as with a variety of health and social care professionals during clinical p</w:t>
      </w:r>
      <w:r w:rsidR="002D42DF" w:rsidRPr="005E2E71">
        <w:rPr>
          <w:rFonts w:ascii="Arial" w:hAnsi="Arial" w:cs="Arial"/>
          <w:iCs/>
          <w:sz w:val="22"/>
          <w:szCs w:val="22"/>
        </w:rPr>
        <w:t>ractice</w:t>
      </w:r>
      <w:r w:rsidRPr="005E2E71">
        <w:rPr>
          <w:rFonts w:ascii="Arial" w:hAnsi="Arial" w:cs="Arial"/>
          <w:iCs/>
          <w:sz w:val="22"/>
          <w:szCs w:val="22"/>
        </w:rPr>
        <w:t xml:space="preserve">. </w:t>
      </w:r>
    </w:p>
    <w:p w14:paraId="5B4DD71B" w14:textId="77777777" w:rsidR="001710BF" w:rsidRPr="005E2E71" w:rsidRDefault="001710BF" w:rsidP="006C307E">
      <w:pPr>
        <w:rPr>
          <w:rFonts w:ascii="Arial" w:hAnsi="Arial" w:cs="Arial"/>
          <w:iCs/>
          <w:sz w:val="22"/>
          <w:szCs w:val="22"/>
        </w:rPr>
      </w:pPr>
    </w:p>
    <w:p w14:paraId="55D90C68" w14:textId="10C297E1" w:rsidR="006C307E" w:rsidRPr="005E2E71" w:rsidRDefault="006C307E" w:rsidP="006C307E">
      <w:pPr>
        <w:rPr>
          <w:rFonts w:ascii="Arial" w:hAnsi="Arial" w:cs="Arial"/>
          <w:iCs/>
          <w:sz w:val="22"/>
          <w:szCs w:val="22"/>
        </w:rPr>
      </w:pPr>
      <w:r w:rsidRPr="005E2E71">
        <w:rPr>
          <w:rFonts w:ascii="Arial" w:hAnsi="Arial" w:cs="Arial"/>
          <w:iCs/>
          <w:sz w:val="22"/>
          <w:szCs w:val="22"/>
        </w:rPr>
        <w:t xml:space="preserve">The </w:t>
      </w:r>
      <w:r w:rsidR="00270B8C" w:rsidRPr="005E2E71">
        <w:rPr>
          <w:rFonts w:ascii="Arial" w:hAnsi="Arial" w:cs="Arial"/>
          <w:iCs/>
          <w:sz w:val="22"/>
          <w:szCs w:val="22"/>
        </w:rPr>
        <w:t>teaching schedule</w:t>
      </w:r>
      <w:r w:rsidRPr="005E2E71">
        <w:rPr>
          <w:rFonts w:ascii="Arial" w:hAnsi="Arial" w:cs="Arial"/>
          <w:iCs/>
          <w:sz w:val="22"/>
          <w:szCs w:val="22"/>
        </w:rPr>
        <w:t xml:space="preserve"> includes </w:t>
      </w:r>
      <w:r w:rsidR="00270B8C" w:rsidRPr="005E2E71">
        <w:rPr>
          <w:rFonts w:ascii="Arial" w:hAnsi="Arial" w:cs="Arial"/>
          <w:iCs/>
          <w:sz w:val="22"/>
          <w:szCs w:val="22"/>
        </w:rPr>
        <w:t xml:space="preserve">input from </w:t>
      </w:r>
      <w:r w:rsidRPr="005E2E71">
        <w:rPr>
          <w:rFonts w:ascii="Arial" w:hAnsi="Arial" w:cs="Arial"/>
          <w:iCs/>
          <w:sz w:val="22"/>
          <w:szCs w:val="22"/>
        </w:rPr>
        <w:t xml:space="preserve">academic staff members from </w:t>
      </w:r>
      <w:r w:rsidR="00A37C44" w:rsidRPr="005E2E71">
        <w:rPr>
          <w:rFonts w:ascii="Arial" w:hAnsi="Arial" w:cs="Arial"/>
          <w:iCs/>
          <w:sz w:val="22"/>
          <w:szCs w:val="22"/>
        </w:rPr>
        <w:t>different</w:t>
      </w:r>
      <w:r w:rsidRPr="005E2E71">
        <w:rPr>
          <w:rFonts w:ascii="Arial" w:hAnsi="Arial" w:cs="Arial"/>
          <w:iCs/>
          <w:sz w:val="22"/>
          <w:szCs w:val="22"/>
        </w:rPr>
        <w:t xml:space="preserve"> </w:t>
      </w:r>
      <w:r w:rsidR="006940F9" w:rsidRPr="005E2E71">
        <w:rPr>
          <w:rFonts w:ascii="Arial" w:hAnsi="Arial" w:cs="Arial"/>
          <w:iCs/>
          <w:sz w:val="22"/>
          <w:szCs w:val="22"/>
        </w:rPr>
        <w:t xml:space="preserve">professional groups such as Pharmacy, </w:t>
      </w:r>
      <w:r w:rsidR="00E27F07" w:rsidRPr="005E2E71">
        <w:rPr>
          <w:rFonts w:ascii="Arial" w:hAnsi="Arial" w:cs="Arial"/>
          <w:iCs/>
          <w:sz w:val="22"/>
          <w:szCs w:val="22"/>
        </w:rPr>
        <w:t xml:space="preserve">and </w:t>
      </w:r>
      <w:r w:rsidRPr="005E2E71">
        <w:rPr>
          <w:rFonts w:ascii="Arial" w:hAnsi="Arial" w:cs="Arial"/>
          <w:iCs/>
          <w:sz w:val="22"/>
          <w:szCs w:val="22"/>
        </w:rPr>
        <w:t>fields of nursing</w:t>
      </w:r>
      <w:r w:rsidR="00A37C44" w:rsidRPr="005E2E71">
        <w:rPr>
          <w:rFonts w:ascii="Arial" w:hAnsi="Arial" w:cs="Arial"/>
          <w:iCs/>
          <w:sz w:val="22"/>
          <w:szCs w:val="22"/>
        </w:rPr>
        <w:t>,</w:t>
      </w:r>
      <w:r w:rsidR="00E27F07" w:rsidRPr="005E2E71">
        <w:rPr>
          <w:rFonts w:ascii="Arial" w:hAnsi="Arial" w:cs="Arial"/>
          <w:iCs/>
          <w:sz w:val="22"/>
          <w:szCs w:val="22"/>
        </w:rPr>
        <w:t xml:space="preserve"> including child and mental health. </w:t>
      </w:r>
      <w:r w:rsidR="00E86F87" w:rsidRPr="005E2E71">
        <w:rPr>
          <w:rFonts w:ascii="Arial" w:hAnsi="Arial" w:cs="Arial"/>
          <w:iCs/>
          <w:sz w:val="22"/>
          <w:szCs w:val="22"/>
        </w:rPr>
        <w:t>K</w:t>
      </w:r>
      <w:r w:rsidRPr="005E2E71">
        <w:rPr>
          <w:rFonts w:ascii="Arial" w:hAnsi="Arial" w:cs="Arial"/>
          <w:iCs/>
          <w:sz w:val="22"/>
          <w:szCs w:val="22"/>
        </w:rPr>
        <w:t>eynote lectures</w:t>
      </w:r>
      <w:r w:rsidR="009C5334" w:rsidRPr="005E2E71">
        <w:rPr>
          <w:rFonts w:ascii="Arial" w:hAnsi="Arial" w:cs="Arial"/>
          <w:iCs/>
          <w:sz w:val="22"/>
          <w:szCs w:val="22"/>
        </w:rPr>
        <w:t xml:space="preserve"> from </w:t>
      </w:r>
      <w:r w:rsidR="00E86F87" w:rsidRPr="005E2E71">
        <w:rPr>
          <w:rFonts w:ascii="Arial" w:hAnsi="Arial" w:cs="Arial"/>
          <w:iCs/>
          <w:sz w:val="22"/>
          <w:szCs w:val="22"/>
        </w:rPr>
        <w:t xml:space="preserve">specialist </w:t>
      </w:r>
      <w:r w:rsidR="009C5334" w:rsidRPr="005E2E71">
        <w:rPr>
          <w:rFonts w:ascii="Arial" w:hAnsi="Arial" w:cs="Arial"/>
          <w:iCs/>
          <w:sz w:val="22"/>
          <w:szCs w:val="22"/>
        </w:rPr>
        <w:t>guest speakers</w:t>
      </w:r>
      <w:r w:rsidR="00A37C44" w:rsidRPr="005E2E71">
        <w:rPr>
          <w:rFonts w:ascii="Arial" w:hAnsi="Arial" w:cs="Arial"/>
          <w:iCs/>
          <w:sz w:val="22"/>
          <w:szCs w:val="22"/>
        </w:rPr>
        <w:t xml:space="preserve">, </w:t>
      </w:r>
      <w:r w:rsidRPr="005E2E71">
        <w:rPr>
          <w:rFonts w:ascii="Arial" w:hAnsi="Arial" w:cs="Arial"/>
          <w:iCs/>
          <w:sz w:val="22"/>
          <w:szCs w:val="22"/>
        </w:rPr>
        <w:t>as well as</w:t>
      </w:r>
      <w:r w:rsidR="00A37C44" w:rsidRPr="005E2E71">
        <w:rPr>
          <w:rFonts w:ascii="Arial" w:hAnsi="Arial" w:cs="Arial"/>
          <w:iCs/>
          <w:sz w:val="22"/>
          <w:szCs w:val="22"/>
        </w:rPr>
        <w:t xml:space="preserve"> the i</w:t>
      </w:r>
      <w:r w:rsidR="00E86F87" w:rsidRPr="005E2E71">
        <w:rPr>
          <w:rFonts w:ascii="Arial" w:hAnsi="Arial" w:cs="Arial"/>
          <w:iCs/>
          <w:sz w:val="22"/>
          <w:szCs w:val="22"/>
        </w:rPr>
        <w:t>nclusion</w:t>
      </w:r>
      <w:r w:rsidR="00A37C44" w:rsidRPr="005E2E71">
        <w:rPr>
          <w:rFonts w:ascii="Arial" w:hAnsi="Arial" w:cs="Arial"/>
          <w:iCs/>
          <w:sz w:val="22"/>
          <w:szCs w:val="22"/>
        </w:rPr>
        <w:t xml:space="preserve"> of</w:t>
      </w:r>
      <w:r w:rsidRPr="005E2E71">
        <w:rPr>
          <w:rFonts w:ascii="Arial" w:hAnsi="Arial" w:cs="Arial"/>
          <w:iCs/>
          <w:sz w:val="22"/>
          <w:szCs w:val="22"/>
        </w:rPr>
        <w:t xml:space="preserve"> a variety of scenarios and examples</w:t>
      </w:r>
      <w:r w:rsidR="00E86F87" w:rsidRPr="005E2E71">
        <w:rPr>
          <w:rFonts w:ascii="Arial" w:hAnsi="Arial" w:cs="Arial"/>
          <w:iCs/>
          <w:sz w:val="22"/>
          <w:szCs w:val="22"/>
        </w:rPr>
        <w:t xml:space="preserve"> from different specialities and fields </w:t>
      </w:r>
      <w:r w:rsidR="00D83249" w:rsidRPr="005E2E71">
        <w:rPr>
          <w:rFonts w:ascii="Arial" w:hAnsi="Arial" w:cs="Arial"/>
          <w:iCs/>
          <w:sz w:val="22"/>
          <w:szCs w:val="22"/>
        </w:rPr>
        <w:t xml:space="preserve">also </w:t>
      </w:r>
      <w:r w:rsidR="00E86F87" w:rsidRPr="005E2E71">
        <w:rPr>
          <w:rFonts w:ascii="Arial" w:hAnsi="Arial" w:cs="Arial"/>
          <w:iCs/>
          <w:sz w:val="22"/>
          <w:szCs w:val="22"/>
        </w:rPr>
        <w:t>provide students with wider perspectives</w:t>
      </w:r>
      <w:r w:rsidRPr="005E2E71">
        <w:rPr>
          <w:rFonts w:ascii="Arial" w:hAnsi="Arial" w:cs="Arial"/>
          <w:iCs/>
          <w:sz w:val="22"/>
          <w:szCs w:val="22"/>
        </w:rPr>
        <w:t xml:space="preserve">. Service </w:t>
      </w:r>
      <w:r w:rsidR="00D83249" w:rsidRPr="005E2E71">
        <w:rPr>
          <w:rFonts w:ascii="Arial" w:hAnsi="Arial" w:cs="Arial"/>
          <w:iCs/>
          <w:sz w:val="22"/>
          <w:szCs w:val="22"/>
        </w:rPr>
        <w:t>u</w:t>
      </w:r>
      <w:r w:rsidRPr="005E2E71">
        <w:rPr>
          <w:rFonts w:ascii="Arial" w:hAnsi="Arial" w:cs="Arial"/>
          <w:iCs/>
          <w:sz w:val="22"/>
          <w:szCs w:val="22"/>
        </w:rPr>
        <w:t>ser/</w:t>
      </w:r>
      <w:r w:rsidR="00D83249" w:rsidRPr="005E2E71">
        <w:rPr>
          <w:rFonts w:ascii="Arial" w:hAnsi="Arial" w:cs="Arial"/>
          <w:iCs/>
          <w:sz w:val="22"/>
          <w:szCs w:val="22"/>
        </w:rPr>
        <w:t>c</w:t>
      </w:r>
      <w:r w:rsidRPr="005E2E71">
        <w:rPr>
          <w:rFonts w:ascii="Arial" w:hAnsi="Arial" w:cs="Arial"/>
          <w:iCs/>
          <w:sz w:val="22"/>
          <w:szCs w:val="22"/>
        </w:rPr>
        <w:t xml:space="preserve">arer representatives </w:t>
      </w:r>
      <w:r w:rsidR="00D83249" w:rsidRPr="005E2E71">
        <w:rPr>
          <w:rFonts w:ascii="Arial" w:hAnsi="Arial" w:cs="Arial"/>
          <w:iCs/>
          <w:sz w:val="22"/>
          <w:szCs w:val="22"/>
        </w:rPr>
        <w:t xml:space="preserve">contribute to the programme by sharing their lived experiences </w:t>
      </w:r>
      <w:proofErr w:type="gramStart"/>
      <w:r w:rsidR="00D83249" w:rsidRPr="005E2E71">
        <w:rPr>
          <w:rFonts w:ascii="Arial" w:hAnsi="Arial" w:cs="Arial"/>
          <w:iCs/>
          <w:sz w:val="22"/>
          <w:szCs w:val="22"/>
        </w:rPr>
        <w:t>e.g.</w:t>
      </w:r>
      <w:proofErr w:type="gramEnd"/>
      <w:r w:rsidRPr="005E2E71">
        <w:rPr>
          <w:rFonts w:ascii="Arial" w:hAnsi="Arial" w:cs="Arial"/>
          <w:iCs/>
          <w:sz w:val="22"/>
          <w:szCs w:val="22"/>
        </w:rPr>
        <w:t xml:space="preserve"> </w:t>
      </w:r>
      <w:r w:rsidR="00BD59B5" w:rsidRPr="005E2E71">
        <w:rPr>
          <w:rFonts w:ascii="Arial" w:hAnsi="Arial" w:cs="Arial"/>
          <w:iCs/>
          <w:sz w:val="22"/>
          <w:szCs w:val="22"/>
        </w:rPr>
        <w:t>members of the</w:t>
      </w:r>
      <w:r w:rsidRPr="005E2E71">
        <w:rPr>
          <w:rFonts w:ascii="Arial" w:hAnsi="Arial" w:cs="Arial"/>
          <w:iCs/>
          <w:sz w:val="22"/>
          <w:szCs w:val="22"/>
        </w:rPr>
        <w:t xml:space="preserve"> Baked Bean Company, which uses drama to increase awareness of learning disability challenges</w:t>
      </w:r>
      <w:r w:rsidR="00BD59B5" w:rsidRPr="005E2E71">
        <w:rPr>
          <w:rFonts w:ascii="Arial" w:hAnsi="Arial" w:cs="Arial"/>
          <w:iCs/>
          <w:sz w:val="22"/>
          <w:szCs w:val="22"/>
        </w:rPr>
        <w:t xml:space="preserve">, share experiences of </w:t>
      </w:r>
      <w:r w:rsidR="006940F9" w:rsidRPr="005E2E71">
        <w:rPr>
          <w:rFonts w:ascii="Arial" w:hAnsi="Arial" w:cs="Arial"/>
          <w:iCs/>
          <w:sz w:val="22"/>
          <w:szCs w:val="22"/>
        </w:rPr>
        <w:t>prescribing encounters</w:t>
      </w:r>
      <w:r w:rsidRPr="005E2E71">
        <w:rPr>
          <w:rFonts w:ascii="Arial" w:hAnsi="Arial" w:cs="Arial"/>
          <w:iCs/>
          <w:sz w:val="22"/>
          <w:szCs w:val="22"/>
        </w:rPr>
        <w:t xml:space="preserve">. These sessions are aimed at developing communication and relationship management skills with people across the lifespan and with those who have diverse needs. In addition, the VLE is used to direct students to </w:t>
      </w:r>
      <w:r w:rsidR="00C1388B" w:rsidRPr="005E2E71">
        <w:rPr>
          <w:rFonts w:ascii="Arial" w:hAnsi="Arial" w:cs="Arial"/>
          <w:iCs/>
          <w:sz w:val="22"/>
          <w:szCs w:val="22"/>
        </w:rPr>
        <w:t>learn</w:t>
      </w:r>
      <w:r w:rsidRPr="005E2E71">
        <w:rPr>
          <w:rFonts w:ascii="Arial" w:hAnsi="Arial" w:cs="Arial"/>
          <w:iCs/>
          <w:sz w:val="22"/>
          <w:szCs w:val="22"/>
        </w:rPr>
        <w:t xml:space="preserve"> </w:t>
      </w:r>
      <w:r w:rsidR="009C5334" w:rsidRPr="005E2E71">
        <w:rPr>
          <w:rFonts w:ascii="Arial" w:hAnsi="Arial" w:cs="Arial"/>
          <w:iCs/>
          <w:sz w:val="22"/>
          <w:szCs w:val="22"/>
        </w:rPr>
        <w:t xml:space="preserve">across different specialities </w:t>
      </w:r>
      <w:r w:rsidRPr="005E2E71">
        <w:rPr>
          <w:rFonts w:ascii="Arial" w:hAnsi="Arial" w:cs="Arial"/>
          <w:iCs/>
          <w:sz w:val="22"/>
          <w:szCs w:val="22"/>
        </w:rPr>
        <w:t xml:space="preserve">with links to additional resources and activities. Students are also guided to develop and apply their knowledge, understanding and skills to their </w:t>
      </w:r>
      <w:r w:rsidR="00D94FB6" w:rsidRPr="005E2E71">
        <w:rPr>
          <w:rFonts w:ascii="Arial" w:hAnsi="Arial" w:cs="Arial"/>
          <w:iCs/>
          <w:sz w:val="22"/>
          <w:szCs w:val="22"/>
        </w:rPr>
        <w:t>area</w:t>
      </w:r>
      <w:r w:rsidRPr="005E2E71">
        <w:rPr>
          <w:rFonts w:ascii="Arial" w:hAnsi="Arial" w:cs="Arial"/>
          <w:iCs/>
          <w:sz w:val="22"/>
          <w:szCs w:val="22"/>
        </w:rPr>
        <w:t xml:space="preserve"> of practice through </w:t>
      </w:r>
      <w:r w:rsidRPr="005E2E71">
        <w:rPr>
          <w:rFonts w:ascii="Arial" w:hAnsi="Arial" w:cs="Arial"/>
          <w:iCs/>
          <w:sz w:val="22"/>
          <w:szCs w:val="22"/>
        </w:rPr>
        <w:lastRenderedPageBreak/>
        <w:t xml:space="preserve">completion of </w:t>
      </w:r>
      <w:r w:rsidR="00D94FB6" w:rsidRPr="005E2E71">
        <w:rPr>
          <w:rFonts w:ascii="Arial" w:hAnsi="Arial" w:cs="Arial"/>
          <w:iCs/>
          <w:sz w:val="22"/>
          <w:szCs w:val="22"/>
        </w:rPr>
        <w:t>their coursework</w:t>
      </w:r>
      <w:r w:rsidRPr="005E2E71">
        <w:rPr>
          <w:rFonts w:ascii="Arial" w:hAnsi="Arial" w:cs="Arial"/>
          <w:iCs/>
          <w:sz w:val="22"/>
          <w:szCs w:val="22"/>
        </w:rPr>
        <w:t xml:space="preserve"> assignment</w:t>
      </w:r>
      <w:r w:rsidR="00D94FB6" w:rsidRPr="005E2E71">
        <w:rPr>
          <w:rFonts w:ascii="Arial" w:hAnsi="Arial" w:cs="Arial"/>
          <w:iCs/>
          <w:sz w:val="22"/>
          <w:szCs w:val="22"/>
        </w:rPr>
        <w:t>s</w:t>
      </w:r>
      <w:r w:rsidRPr="005E2E71">
        <w:rPr>
          <w:rFonts w:ascii="Arial" w:hAnsi="Arial" w:cs="Arial"/>
          <w:iCs/>
          <w:sz w:val="22"/>
          <w:szCs w:val="22"/>
        </w:rPr>
        <w:t xml:space="preserve"> and </w:t>
      </w:r>
      <w:r w:rsidR="009C5334" w:rsidRPr="005E2E71">
        <w:rPr>
          <w:rFonts w:ascii="Arial" w:hAnsi="Arial" w:cs="Arial"/>
          <w:iCs/>
          <w:sz w:val="22"/>
          <w:szCs w:val="22"/>
        </w:rPr>
        <w:t xml:space="preserve">the </w:t>
      </w:r>
      <w:r w:rsidRPr="005E2E71">
        <w:rPr>
          <w:rFonts w:ascii="Arial" w:hAnsi="Arial" w:cs="Arial"/>
          <w:iCs/>
          <w:sz w:val="22"/>
          <w:szCs w:val="22"/>
        </w:rPr>
        <w:t xml:space="preserve">achievement of practice </w:t>
      </w:r>
      <w:r w:rsidR="00D94FB6" w:rsidRPr="005E2E71">
        <w:rPr>
          <w:rFonts w:ascii="Arial" w:hAnsi="Arial" w:cs="Arial"/>
          <w:iCs/>
          <w:sz w:val="22"/>
          <w:szCs w:val="22"/>
        </w:rPr>
        <w:t>competencies</w:t>
      </w:r>
      <w:r w:rsidR="009C5334" w:rsidRPr="005E2E71">
        <w:rPr>
          <w:rFonts w:ascii="Arial" w:hAnsi="Arial" w:cs="Arial"/>
          <w:iCs/>
          <w:sz w:val="22"/>
          <w:szCs w:val="22"/>
        </w:rPr>
        <w:t xml:space="preserve"> and clinical logs</w:t>
      </w:r>
      <w:r w:rsidRPr="005E2E71">
        <w:rPr>
          <w:rFonts w:ascii="Arial" w:hAnsi="Arial" w:cs="Arial"/>
          <w:iCs/>
          <w:sz w:val="22"/>
          <w:szCs w:val="22"/>
        </w:rPr>
        <w:t xml:space="preserve">. </w:t>
      </w:r>
    </w:p>
    <w:p w14:paraId="679DA9A2" w14:textId="77777777" w:rsidR="006C307E" w:rsidRPr="005E2E71" w:rsidRDefault="006C307E" w:rsidP="006C307E">
      <w:pPr>
        <w:rPr>
          <w:rFonts w:ascii="Arial" w:hAnsi="Arial" w:cs="Arial"/>
          <w:b/>
          <w:iCs/>
          <w:sz w:val="22"/>
          <w:szCs w:val="22"/>
        </w:rPr>
      </w:pPr>
      <w:bookmarkStart w:id="3" w:name="_Hlk943910"/>
    </w:p>
    <w:p w14:paraId="02BDD85D" w14:textId="0FC44434" w:rsidR="006C307E" w:rsidRPr="005E2E71" w:rsidRDefault="006C307E" w:rsidP="006C307E">
      <w:pPr>
        <w:rPr>
          <w:rFonts w:ascii="Arial" w:hAnsi="Arial" w:cs="Arial"/>
          <w:b/>
          <w:iCs/>
          <w:sz w:val="22"/>
          <w:szCs w:val="22"/>
        </w:rPr>
      </w:pPr>
      <w:r w:rsidRPr="005E2E71">
        <w:rPr>
          <w:rFonts w:ascii="Arial" w:hAnsi="Arial" w:cs="Arial"/>
          <w:b/>
          <w:iCs/>
          <w:sz w:val="22"/>
          <w:szCs w:val="22"/>
        </w:rPr>
        <w:t>P</w:t>
      </w:r>
      <w:r w:rsidR="00225D4E" w:rsidRPr="005E2E71">
        <w:rPr>
          <w:rFonts w:ascii="Arial" w:hAnsi="Arial" w:cs="Arial"/>
          <w:b/>
          <w:iCs/>
          <w:sz w:val="22"/>
          <w:szCs w:val="22"/>
        </w:rPr>
        <w:t>ractice-based</w:t>
      </w:r>
      <w:r w:rsidRPr="005E2E71">
        <w:rPr>
          <w:rFonts w:ascii="Arial" w:hAnsi="Arial" w:cs="Arial"/>
          <w:b/>
          <w:iCs/>
          <w:sz w:val="22"/>
          <w:szCs w:val="22"/>
        </w:rPr>
        <w:t xml:space="preserve"> learning</w:t>
      </w:r>
    </w:p>
    <w:p w14:paraId="5E74E3B0" w14:textId="4D6F698F" w:rsidR="009C6662" w:rsidRPr="005E2E71" w:rsidRDefault="00225D4E" w:rsidP="00225D4E">
      <w:pPr>
        <w:jc w:val="both"/>
        <w:rPr>
          <w:rFonts w:ascii="Arial" w:hAnsi="Arial" w:cs="Arial"/>
          <w:bCs/>
          <w:iCs/>
          <w:sz w:val="22"/>
          <w:szCs w:val="22"/>
        </w:rPr>
      </w:pPr>
      <w:bookmarkStart w:id="4" w:name="_Hlk1548999"/>
      <w:r w:rsidRPr="005E2E71">
        <w:rPr>
          <w:rFonts w:ascii="Arial" w:hAnsi="Arial" w:cs="Arial"/>
          <w:bCs/>
          <w:iCs/>
          <w:sz w:val="22"/>
          <w:szCs w:val="22"/>
        </w:rPr>
        <w:t xml:space="preserve">At the point of application, students </w:t>
      </w:r>
      <w:r w:rsidR="000A1163" w:rsidRPr="005E2E71">
        <w:rPr>
          <w:rFonts w:ascii="Arial" w:hAnsi="Arial" w:cs="Arial"/>
          <w:bCs/>
          <w:iCs/>
          <w:sz w:val="22"/>
          <w:szCs w:val="22"/>
        </w:rPr>
        <w:t xml:space="preserve">must </w:t>
      </w:r>
      <w:r w:rsidRPr="005E2E71">
        <w:rPr>
          <w:rFonts w:ascii="Arial" w:hAnsi="Arial" w:cs="Arial"/>
          <w:bCs/>
          <w:iCs/>
          <w:sz w:val="22"/>
          <w:szCs w:val="22"/>
        </w:rPr>
        <w:t xml:space="preserve">confirm </w:t>
      </w:r>
      <w:r w:rsidR="009D2445" w:rsidRPr="005E2E71">
        <w:rPr>
          <w:rFonts w:ascii="Arial" w:hAnsi="Arial" w:cs="Arial"/>
          <w:bCs/>
          <w:iCs/>
          <w:sz w:val="22"/>
          <w:szCs w:val="22"/>
        </w:rPr>
        <w:t xml:space="preserve">that for the duration of the course, </w:t>
      </w:r>
      <w:r w:rsidRPr="005E2E71">
        <w:rPr>
          <w:rFonts w:ascii="Arial" w:hAnsi="Arial" w:cs="Arial"/>
          <w:bCs/>
          <w:iCs/>
          <w:sz w:val="22"/>
          <w:szCs w:val="22"/>
        </w:rPr>
        <w:t xml:space="preserve">they </w:t>
      </w:r>
      <w:r w:rsidR="000A1163" w:rsidRPr="005E2E71">
        <w:rPr>
          <w:rFonts w:ascii="Arial" w:hAnsi="Arial" w:cs="Arial"/>
          <w:bCs/>
          <w:iCs/>
          <w:sz w:val="22"/>
          <w:szCs w:val="22"/>
        </w:rPr>
        <w:t>will be working in</w:t>
      </w:r>
      <w:r w:rsidRPr="005E2E71">
        <w:rPr>
          <w:rFonts w:ascii="Arial" w:hAnsi="Arial" w:cs="Arial"/>
          <w:bCs/>
          <w:iCs/>
          <w:sz w:val="22"/>
          <w:szCs w:val="22"/>
        </w:rPr>
        <w:t xml:space="preserve"> </w:t>
      </w:r>
      <w:r w:rsidR="000A1163" w:rsidRPr="005E2E71">
        <w:rPr>
          <w:rFonts w:ascii="Arial" w:hAnsi="Arial" w:cs="Arial"/>
          <w:bCs/>
          <w:iCs/>
          <w:sz w:val="22"/>
          <w:szCs w:val="22"/>
        </w:rPr>
        <w:t xml:space="preserve">a </w:t>
      </w:r>
      <w:r w:rsidRPr="005E2E71">
        <w:rPr>
          <w:rFonts w:ascii="Arial" w:hAnsi="Arial" w:cs="Arial"/>
          <w:bCs/>
          <w:iCs/>
          <w:sz w:val="22"/>
          <w:szCs w:val="22"/>
        </w:rPr>
        <w:t xml:space="preserve">suitable clinical practice </w:t>
      </w:r>
      <w:r w:rsidR="009D2445" w:rsidRPr="005E2E71">
        <w:rPr>
          <w:rFonts w:ascii="Arial" w:hAnsi="Arial" w:cs="Arial"/>
          <w:bCs/>
          <w:iCs/>
          <w:sz w:val="22"/>
          <w:szCs w:val="22"/>
        </w:rPr>
        <w:t>environment</w:t>
      </w:r>
      <w:r w:rsidR="00D72C5F" w:rsidRPr="005E2E71">
        <w:rPr>
          <w:rFonts w:ascii="Arial" w:hAnsi="Arial" w:cs="Arial"/>
          <w:bCs/>
          <w:iCs/>
          <w:sz w:val="22"/>
          <w:szCs w:val="22"/>
        </w:rPr>
        <w:t xml:space="preserve"> with </w:t>
      </w:r>
      <w:r w:rsidR="00143560" w:rsidRPr="005E2E71">
        <w:rPr>
          <w:rFonts w:ascii="Arial" w:hAnsi="Arial" w:cs="Arial"/>
          <w:bCs/>
          <w:iCs/>
          <w:sz w:val="22"/>
          <w:szCs w:val="22"/>
        </w:rPr>
        <w:t xml:space="preserve">the </w:t>
      </w:r>
      <w:r w:rsidR="00D72C5F" w:rsidRPr="005E2E71">
        <w:rPr>
          <w:rFonts w:ascii="Arial" w:hAnsi="Arial" w:cs="Arial"/>
          <w:bCs/>
          <w:iCs/>
          <w:sz w:val="22"/>
          <w:szCs w:val="22"/>
        </w:rPr>
        <w:t>appropriate</w:t>
      </w:r>
      <w:r w:rsidR="009C6662" w:rsidRPr="005E2E71">
        <w:rPr>
          <w:rFonts w:ascii="Arial" w:hAnsi="Arial" w:cs="Arial"/>
          <w:bCs/>
          <w:iCs/>
          <w:sz w:val="22"/>
          <w:szCs w:val="22"/>
        </w:rPr>
        <w:t xml:space="preserve"> guidance and supervision</w:t>
      </w:r>
      <w:r w:rsidR="00143560" w:rsidRPr="005E2E71">
        <w:rPr>
          <w:rFonts w:ascii="Arial" w:hAnsi="Arial" w:cs="Arial"/>
          <w:bCs/>
          <w:iCs/>
          <w:sz w:val="22"/>
          <w:szCs w:val="22"/>
        </w:rPr>
        <w:t xml:space="preserve"> to</w:t>
      </w:r>
      <w:r w:rsidR="000A1163" w:rsidRPr="005E2E71">
        <w:rPr>
          <w:rFonts w:ascii="Arial" w:hAnsi="Arial" w:cs="Arial"/>
          <w:bCs/>
          <w:iCs/>
          <w:sz w:val="22"/>
          <w:szCs w:val="22"/>
        </w:rPr>
        <w:t xml:space="preserve"> enable achieve</w:t>
      </w:r>
      <w:r w:rsidR="00143560" w:rsidRPr="005E2E71">
        <w:rPr>
          <w:rFonts w:ascii="Arial" w:hAnsi="Arial" w:cs="Arial"/>
          <w:bCs/>
          <w:iCs/>
          <w:sz w:val="22"/>
          <w:szCs w:val="22"/>
        </w:rPr>
        <w:t>ment of</w:t>
      </w:r>
      <w:r w:rsidR="000A1163" w:rsidRPr="005E2E71">
        <w:rPr>
          <w:rFonts w:ascii="Arial" w:hAnsi="Arial" w:cs="Arial"/>
          <w:bCs/>
          <w:iCs/>
          <w:sz w:val="22"/>
          <w:szCs w:val="22"/>
        </w:rPr>
        <w:t xml:space="preserve"> the learning outcomes and competencies. </w:t>
      </w:r>
      <w:r w:rsidR="003D24A8" w:rsidRPr="005E2E71">
        <w:rPr>
          <w:rFonts w:ascii="Arial" w:hAnsi="Arial" w:cs="Arial"/>
          <w:bCs/>
          <w:iCs/>
          <w:sz w:val="22"/>
          <w:szCs w:val="22"/>
        </w:rPr>
        <w:t xml:space="preserve">It is each student’s responsibility to ensure they obtain suitable clinical practice experience for the duration of the module.  </w:t>
      </w:r>
    </w:p>
    <w:p w14:paraId="2165241E" w14:textId="77777777" w:rsidR="009C6662" w:rsidRPr="005E2E71" w:rsidRDefault="009C6662" w:rsidP="00225D4E">
      <w:pPr>
        <w:jc w:val="both"/>
        <w:rPr>
          <w:rFonts w:ascii="Arial" w:hAnsi="Arial" w:cs="Arial"/>
          <w:bCs/>
          <w:iCs/>
          <w:sz w:val="22"/>
          <w:szCs w:val="22"/>
        </w:rPr>
      </w:pPr>
    </w:p>
    <w:p w14:paraId="6172B9A2" w14:textId="2E2D33F8" w:rsidR="0008188D" w:rsidRPr="005E2E71" w:rsidRDefault="009D2445" w:rsidP="0008188D">
      <w:pPr>
        <w:rPr>
          <w:rFonts w:ascii="Arial" w:hAnsi="Arial" w:cs="Arial"/>
          <w:iCs/>
          <w:sz w:val="22"/>
          <w:szCs w:val="22"/>
        </w:rPr>
      </w:pPr>
      <w:r w:rsidRPr="005E2E71">
        <w:rPr>
          <w:rFonts w:ascii="Arial" w:hAnsi="Arial" w:cs="Arial"/>
          <w:bCs/>
          <w:iCs/>
          <w:sz w:val="22"/>
          <w:szCs w:val="22"/>
        </w:rPr>
        <w:t xml:space="preserve">A minimum of 50 hours of supervised practice </w:t>
      </w:r>
      <w:r w:rsidR="00CA2672" w:rsidRPr="005E2E71">
        <w:rPr>
          <w:rFonts w:ascii="Arial" w:hAnsi="Arial" w:cs="Arial"/>
          <w:bCs/>
          <w:iCs/>
          <w:sz w:val="22"/>
          <w:szCs w:val="22"/>
        </w:rPr>
        <w:t xml:space="preserve">from a suitably experienced registered healthcare practitioner </w:t>
      </w:r>
      <w:r w:rsidRPr="005E2E71">
        <w:rPr>
          <w:rFonts w:ascii="Arial" w:hAnsi="Arial" w:cs="Arial"/>
          <w:bCs/>
          <w:iCs/>
          <w:sz w:val="22"/>
          <w:szCs w:val="22"/>
        </w:rPr>
        <w:t xml:space="preserve">is required during </w:t>
      </w:r>
      <w:r w:rsidR="00FD4FC2" w:rsidRPr="005E2E71">
        <w:rPr>
          <w:rFonts w:ascii="Arial" w:hAnsi="Arial" w:cs="Arial"/>
          <w:bCs/>
          <w:iCs/>
          <w:sz w:val="22"/>
          <w:szCs w:val="22"/>
        </w:rPr>
        <w:t>the ACRHA module</w:t>
      </w:r>
      <w:r w:rsidR="00143560" w:rsidRPr="005E2E71">
        <w:rPr>
          <w:rFonts w:ascii="Arial" w:hAnsi="Arial" w:cs="Arial"/>
          <w:bCs/>
          <w:iCs/>
          <w:sz w:val="22"/>
          <w:szCs w:val="22"/>
        </w:rPr>
        <w:t>,</w:t>
      </w:r>
      <w:r w:rsidR="00D72C5F" w:rsidRPr="005E2E71">
        <w:rPr>
          <w:rFonts w:ascii="Arial" w:hAnsi="Arial" w:cs="Arial"/>
          <w:bCs/>
          <w:iCs/>
          <w:sz w:val="22"/>
          <w:szCs w:val="22"/>
        </w:rPr>
        <w:t xml:space="preserve"> to ensure students can practice and hone their assessment skills</w:t>
      </w:r>
      <w:r w:rsidR="009C6662" w:rsidRPr="005E2E71">
        <w:rPr>
          <w:rFonts w:ascii="Arial" w:hAnsi="Arial" w:cs="Arial"/>
          <w:bCs/>
          <w:iCs/>
          <w:sz w:val="22"/>
          <w:szCs w:val="22"/>
        </w:rPr>
        <w:t>,</w:t>
      </w:r>
      <w:r w:rsidR="00D72C5F" w:rsidRPr="005E2E71">
        <w:rPr>
          <w:rFonts w:ascii="Arial" w:hAnsi="Arial" w:cs="Arial"/>
          <w:bCs/>
          <w:iCs/>
          <w:sz w:val="22"/>
          <w:szCs w:val="22"/>
        </w:rPr>
        <w:t xml:space="preserve"> in preparation for the </w:t>
      </w:r>
      <w:r w:rsidR="009C6662" w:rsidRPr="005E2E71">
        <w:rPr>
          <w:rFonts w:ascii="Arial" w:hAnsi="Arial" w:cs="Arial"/>
          <w:bCs/>
          <w:iCs/>
          <w:sz w:val="22"/>
          <w:szCs w:val="22"/>
        </w:rPr>
        <w:t xml:space="preserve">summative Objective Structured Clinical Examination (OSCE). </w:t>
      </w:r>
      <w:r w:rsidR="00363490" w:rsidRPr="005E2E71">
        <w:rPr>
          <w:rFonts w:ascii="Arial" w:hAnsi="Arial" w:cs="Arial"/>
          <w:bCs/>
          <w:iCs/>
          <w:sz w:val="22"/>
          <w:szCs w:val="22"/>
        </w:rPr>
        <w:t xml:space="preserve">The number of supervised hours undertaken is documented in a log which students submit with their coursework. </w:t>
      </w:r>
      <w:r w:rsidR="00143560" w:rsidRPr="005E2E71">
        <w:rPr>
          <w:rFonts w:ascii="Arial" w:hAnsi="Arial" w:cs="Arial"/>
          <w:bCs/>
          <w:iCs/>
          <w:sz w:val="22"/>
          <w:szCs w:val="22"/>
        </w:rPr>
        <w:t>Students progressing to the</w:t>
      </w:r>
      <w:r w:rsidR="009C6662" w:rsidRPr="005E2E71">
        <w:rPr>
          <w:rFonts w:ascii="Arial" w:hAnsi="Arial" w:cs="Arial"/>
          <w:bCs/>
          <w:iCs/>
          <w:sz w:val="22"/>
          <w:szCs w:val="22"/>
        </w:rPr>
        <w:t xml:space="preserve"> </w:t>
      </w:r>
      <w:r w:rsidR="00AE047C" w:rsidRPr="005E2E71">
        <w:rPr>
          <w:rFonts w:ascii="Arial" w:hAnsi="Arial" w:cs="Arial"/>
          <w:bCs/>
          <w:iCs/>
          <w:sz w:val="22"/>
          <w:szCs w:val="22"/>
        </w:rPr>
        <w:t>V300</w:t>
      </w:r>
      <w:r w:rsidR="009C6662" w:rsidRPr="005E2E71">
        <w:rPr>
          <w:rFonts w:ascii="Arial" w:hAnsi="Arial" w:cs="Arial"/>
          <w:bCs/>
          <w:iCs/>
          <w:sz w:val="22"/>
          <w:szCs w:val="22"/>
        </w:rPr>
        <w:t xml:space="preserve"> module, </w:t>
      </w:r>
      <w:r w:rsidR="00143560" w:rsidRPr="005E2E71">
        <w:rPr>
          <w:rFonts w:ascii="Arial" w:hAnsi="Arial" w:cs="Arial"/>
          <w:bCs/>
          <w:iCs/>
          <w:sz w:val="22"/>
          <w:szCs w:val="22"/>
        </w:rPr>
        <w:t xml:space="preserve">must have written confirmation of agreement </w:t>
      </w:r>
      <w:r w:rsidR="002D0D79" w:rsidRPr="005E2E71">
        <w:rPr>
          <w:rFonts w:ascii="Arial" w:hAnsi="Arial" w:cs="Arial"/>
          <w:bCs/>
          <w:iCs/>
          <w:sz w:val="22"/>
          <w:szCs w:val="22"/>
        </w:rPr>
        <w:t>to provide support from an identified Practice Assessor</w:t>
      </w:r>
      <w:r w:rsidR="007D3F85" w:rsidRPr="005E2E71">
        <w:rPr>
          <w:rFonts w:ascii="Arial" w:hAnsi="Arial" w:cs="Arial"/>
          <w:bCs/>
          <w:iCs/>
          <w:sz w:val="22"/>
          <w:szCs w:val="22"/>
        </w:rPr>
        <w:t>,</w:t>
      </w:r>
      <w:r w:rsidR="002D0D79" w:rsidRPr="005E2E71">
        <w:rPr>
          <w:rFonts w:ascii="Arial" w:hAnsi="Arial" w:cs="Arial"/>
          <w:bCs/>
          <w:iCs/>
          <w:sz w:val="22"/>
          <w:szCs w:val="22"/>
        </w:rPr>
        <w:t xml:space="preserve"> who meets </w:t>
      </w:r>
      <w:r w:rsidR="0008188D" w:rsidRPr="005E2E71">
        <w:rPr>
          <w:rFonts w:ascii="Arial" w:hAnsi="Arial" w:cs="Arial"/>
          <w:bCs/>
          <w:iCs/>
          <w:sz w:val="22"/>
          <w:szCs w:val="22"/>
        </w:rPr>
        <w:t xml:space="preserve">criteria within the NMC’s (2018) </w:t>
      </w:r>
      <w:r w:rsidR="0008188D" w:rsidRPr="005E2E71">
        <w:rPr>
          <w:rFonts w:ascii="Arial" w:hAnsi="Arial" w:cs="Arial"/>
          <w:i/>
          <w:sz w:val="22"/>
          <w:szCs w:val="22"/>
        </w:rPr>
        <w:t>Standards for student supervision and assessment,</w:t>
      </w:r>
      <w:r w:rsidR="0008188D" w:rsidRPr="005E2E71">
        <w:rPr>
          <w:rFonts w:ascii="Arial" w:hAnsi="Arial" w:cs="Arial"/>
          <w:sz w:val="22"/>
          <w:szCs w:val="22"/>
        </w:rPr>
        <w:t xml:space="preserve"> the NMC’s (2018</w:t>
      </w:r>
      <w:r w:rsidR="00BB42A8" w:rsidRPr="005E2E71">
        <w:rPr>
          <w:rFonts w:ascii="Arial" w:hAnsi="Arial" w:cs="Arial"/>
          <w:sz w:val="22"/>
          <w:szCs w:val="22"/>
        </w:rPr>
        <w:t>a</w:t>
      </w:r>
      <w:r w:rsidR="0008188D" w:rsidRPr="005E2E71">
        <w:rPr>
          <w:rFonts w:ascii="Arial" w:hAnsi="Arial" w:cs="Arial"/>
          <w:sz w:val="22"/>
          <w:szCs w:val="22"/>
        </w:rPr>
        <w:t xml:space="preserve">) </w:t>
      </w:r>
      <w:r w:rsidR="0008188D" w:rsidRPr="005E2E71">
        <w:rPr>
          <w:rFonts w:ascii="Arial" w:hAnsi="Arial" w:cs="Arial"/>
          <w:i/>
          <w:sz w:val="22"/>
          <w:szCs w:val="22"/>
        </w:rPr>
        <w:t xml:space="preserve">Standards for prescribing programmes </w:t>
      </w:r>
      <w:r w:rsidR="0008188D" w:rsidRPr="005E2E71">
        <w:rPr>
          <w:rFonts w:ascii="Arial" w:hAnsi="Arial" w:cs="Arial"/>
          <w:iCs/>
          <w:sz w:val="22"/>
          <w:szCs w:val="22"/>
        </w:rPr>
        <w:t xml:space="preserve">and the Royal Pharmaceutical Society’s (RPS) (2019) </w:t>
      </w:r>
      <w:r w:rsidR="0008188D" w:rsidRPr="005E2E71">
        <w:rPr>
          <w:rFonts w:ascii="Arial" w:hAnsi="Arial" w:cs="Arial"/>
          <w:i/>
          <w:sz w:val="22"/>
          <w:szCs w:val="22"/>
        </w:rPr>
        <w:t>Competency framework for designated prescribing practitioners.</w:t>
      </w:r>
      <w:r w:rsidR="0008188D" w:rsidRPr="005E2E71">
        <w:rPr>
          <w:rFonts w:ascii="Arial" w:hAnsi="Arial" w:cs="Arial"/>
          <w:iCs/>
          <w:sz w:val="22"/>
          <w:szCs w:val="22"/>
        </w:rPr>
        <w:t xml:space="preserve"> </w:t>
      </w:r>
    </w:p>
    <w:p w14:paraId="7F20D6BB" w14:textId="094865F4" w:rsidR="00225D4E" w:rsidRPr="005E2E71" w:rsidRDefault="00225D4E" w:rsidP="00225D4E">
      <w:pPr>
        <w:jc w:val="both"/>
        <w:rPr>
          <w:rFonts w:ascii="Arial" w:hAnsi="Arial" w:cs="Arial"/>
          <w:bCs/>
          <w:iCs/>
          <w:sz w:val="22"/>
          <w:szCs w:val="22"/>
        </w:rPr>
      </w:pPr>
    </w:p>
    <w:p w14:paraId="78CE6098" w14:textId="15D7412B" w:rsidR="00A05406" w:rsidRPr="005E2E71" w:rsidRDefault="00E71517" w:rsidP="00225D4E">
      <w:pPr>
        <w:jc w:val="both"/>
        <w:rPr>
          <w:rFonts w:ascii="Arial" w:hAnsi="Arial" w:cs="Arial"/>
          <w:bCs/>
          <w:iCs/>
          <w:sz w:val="22"/>
          <w:szCs w:val="22"/>
        </w:rPr>
      </w:pPr>
      <w:r w:rsidRPr="005E2E71">
        <w:rPr>
          <w:rFonts w:ascii="Arial" w:hAnsi="Arial" w:cs="Arial"/>
          <w:bCs/>
          <w:iCs/>
          <w:sz w:val="22"/>
          <w:szCs w:val="22"/>
        </w:rPr>
        <w:t xml:space="preserve">In addition to the Practice Assessor, students </w:t>
      </w:r>
      <w:r w:rsidR="007D3F85" w:rsidRPr="005E2E71">
        <w:rPr>
          <w:rFonts w:ascii="Arial" w:hAnsi="Arial" w:cs="Arial"/>
          <w:bCs/>
          <w:iCs/>
          <w:sz w:val="22"/>
          <w:szCs w:val="22"/>
        </w:rPr>
        <w:t xml:space="preserve">on the </w:t>
      </w:r>
      <w:r w:rsidR="00FD4FC2" w:rsidRPr="005E2E71">
        <w:rPr>
          <w:rFonts w:ascii="Arial" w:hAnsi="Arial" w:cs="Arial"/>
          <w:bCs/>
          <w:iCs/>
          <w:sz w:val="22"/>
          <w:szCs w:val="22"/>
        </w:rPr>
        <w:t>V300 module</w:t>
      </w:r>
      <w:r w:rsidR="007D3F85" w:rsidRPr="005E2E71">
        <w:rPr>
          <w:rFonts w:ascii="Arial" w:hAnsi="Arial" w:cs="Arial"/>
          <w:bCs/>
          <w:iCs/>
          <w:sz w:val="22"/>
          <w:szCs w:val="22"/>
        </w:rPr>
        <w:t xml:space="preserve"> </w:t>
      </w:r>
      <w:r w:rsidRPr="005E2E71">
        <w:rPr>
          <w:rFonts w:ascii="Arial" w:hAnsi="Arial" w:cs="Arial"/>
          <w:bCs/>
          <w:iCs/>
          <w:sz w:val="22"/>
          <w:szCs w:val="22"/>
        </w:rPr>
        <w:t>will be supervised by Practice Supervisor</w:t>
      </w:r>
      <w:r w:rsidR="007D3F85" w:rsidRPr="005E2E71">
        <w:rPr>
          <w:rFonts w:ascii="Arial" w:hAnsi="Arial" w:cs="Arial"/>
          <w:bCs/>
          <w:iCs/>
          <w:sz w:val="22"/>
          <w:szCs w:val="22"/>
        </w:rPr>
        <w:t>(s)</w:t>
      </w:r>
      <w:r w:rsidRPr="005E2E71">
        <w:rPr>
          <w:rFonts w:ascii="Arial" w:hAnsi="Arial" w:cs="Arial"/>
          <w:bCs/>
          <w:iCs/>
          <w:sz w:val="22"/>
          <w:szCs w:val="22"/>
        </w:rPr>
        <w:t xml:space="preserve"> who ca</w:t>
      </w:r>
      <w:r w:rsidR="0001339D" w:rsidRPr="005E2E71">
        <w:rPr>
          <w:rFonts w:ascii="Arial" w:hAnsi="Arial" w:cs="Arial"/>
          <w:bCs/>
          <w:iCs/>
          <w:sz w:val="22"/>
          <w:szCs w:val="22"/>
        </w:rPr>
        <w:t xml:space="preserve">n be </w:t>
      </w:r>
      <w:r w:rsidRPr="005E2E71">
        <w:rPr>
          <w:rFonts w:ascii="Arial" w:hAnsi="Arial" w:cs="Arial"/>
          <w:bCs/>
          <w:iCs/>
          <w:sz w:val="22"/>
          <w:szCs w:val="22"/>
        </w:rPr>
        <w:t>any appropriately registered health and social care professional</w:t>
      </w:r>
      <w:r w:rsidR="007D3F85" w:rsidRPr="005E2E71">
        <w:rPr>
          <w:rFonts w:ascii="Arial" w:hAnsi="Arial" w:cs="Arial"/>
          <w:bCs/>
          <w:iCs/>
          <w:sz w:val="22"/>
          <w:szCs w:val="22"/>
        </w:rPr>
        <w:t>s</w:t>
      </w:r>
      <w:r w:rsidRPr="005E2E71">
        <w:rPr>
          <w:rFonts w:ascii="Arial" w:hAnsi="Arial" w:cs="Arial"/>
          <w:bCs/>
          <w:iCs/>
          <w:sz w:val="22"/>
          <w:szCs w:val="22"/>
        </w:rPr>
        <w:t xml:space="preserve"> working in the practice environment. They will guide, critically </w:t>
      </w:r>
      <w:proofErr w:type="gramStart"/>
      <w:r w:rsidRPr="005E2E71">
        <w:rPr>
          <w:rFonts w:ascii="Arial" w:hAnsi="Arial" w:cs="Arial"/>
          <w:bCs/>
          <w:iCs/>
          <w:sz w:val="22"/>
          <w:szCs w:val="22"/>
        </w:rPr>
        <w:t>challenge</w:t>
      </w:r>
      <w:proofErr w:type="gramEnd"/>
      <w:r w:rsidRPr="005E2E71">
        <w:rPr>
          <w:rFonts w:ascii="Arial" w:hAnsi="Arial" w:cs="Arial"/>
          <w:bCs/>
          <w:iCs/>
          <w:sz w:val="22"/>
          <w:szCs w:val="22"/>
        </w:rPr>
        <w:t xml:space="preserve"> and supervise the student</w:t>
      </w:r>
      <w:r w:rsidR="0001339D" w:rsidRPr="005E2E71">
        <w:rPr>
          <w:rFonts w:ascii="Arial" w:hAnsi="Arial" w:cs="Arial"/>
          <w:bCs/>
          <w:iCs/>
          <w:sz w:val="22"/>
          <w:szCs w:val="22"/>
        </w:rPr>
        <w:t>’</w:t>
      </w:r>
      <w:r w:rsidRPr="005E2E71">
        <w:rPr>
          <w:rFonts w:ascii="Arial" w:hAnsi="Arial" w:cs="Arial"/>
          <w:bCs/>
          <w:iCs/>
          <w:sz w:val="22"/>
          <w:szCs w:val="22"/>
        </w:rPr>
        <w:t>s practice.</w:t>
      </w:r>
      <w:r w:rsidR="00522CA8" w:rsidRPr="005E2E71">
        <w:rPr>
          <w:rFonts w:ascii="Arial" w:hAnsi="Arial" w:cs="Arial"/>
          <w:bCs/>
          <w:iCs/>
          <w:sz w:val="22"/>
          <w:szCs w:val="22"/>
        </w:rPr>
        <w:t xml:space="preserve"> Practice Supervisors and Practice Assessors may also assist in identifying inter-disciplinary shadowing opportunities </w:t>
      </w:r>
      <w:proofErr w:type="gramStart"/>
      <w:r w:rsidR="00522CA8" w:rsidRPr="005E2E71">
        <w:rPr>
          <w:rFonts w:ascii="Arial" w:hAnsi="Arial" w:cs="Arial"/>
          <w:bCs/>
          <w:iCs/>
          <w:sz w:val="22"/>
          <w:szCs w:val="22"/>
        </w:rPr>
        <w:t>e.g.</w:t>
      </w:r>
      <w:proofErr w:type="gramEnd"/>
      <w:r w:rsidR="00522CA8" w:rsidRPr="005E2E71">
        <w:rPr>
          <w:rFonts w:ascii="Arial" w:hAnsi="Arial" w:cs="Arial"/>
          <w:bCs/>
          <w:iCs/>
          <w:sz w:val="22"/>
          <w:szCs w:val="22"/>
        </w:rPr>
        <w:t xml:space="preserve"> with pharmacists in the clinical area. </w:t>
      </w:r>
      <w:r w:rsidRPr="005E2E71">
        <w:rPr>
          <w:rFonts w:ascii="Arial" w:hAnsi="Arial" w:cs="Arial"/>
          <w:bCs/>
          <w:iCs/>
          <w:sz w:val="22"/>
          <w:szCs w:val="22"/>
        </w:rPr>
        <w:t xml:space="preserve"> </w:t>
      </w:r>
      <w:r w:rsidR="00522CA8" w:rsidRPr="005E2E71">
        <w:rPr>
          <w:rFonts w:ascii="Arial" w:hAnsi="Arial" w:cs="Arial"/>
          <w:bCs/>
          <w:iCs/>
          <w:sz w:val="22"/>
          <w:szCs w:val="22"/>
        </w:rPr>
        <w:t>In addition, a</w:t>
      </w:r>
      <w:r w:rsidR="0001339D" w:rsidRPr="005E2E71">
        <w:rPr>
          <w:rFonts w:ascii="Arial" w:hAnsi="Arial" w:cs="Arial"/>
          <w:bCs/>
          <w:iCs/>
          <w:sz w:val="22"/>
          <w:szCs w:val="22"/>
        </w:rPr>
        <w:t>ll students will also be</w:t>
      </w:r>
      <w:r w:rsidRPr="005E2E71">
        <w:rPr>
          <w:rFonts w:ascii="Arial" w:hAnsi="Arial" w:cs="Arial"/>
          <w:bCs/>
          <w:iCs/>
          <w:sz w:val="22"/>
          <w:szCs w:val="22"/>
        </w:rPr>
        <w:t xml:space="preserve"> assigned to an </w:t>
      </w:r>
      <w:r w:rsidR="0001339D" w:rsidRPr="005E2E71">
        <w:rPr>
          <w:rFonts w:ascii="Arial" w:hAnsi="Arial" w:cs="Arial"/>
          <w:bCs/>
          <w:iCs/>
          <w:sz w:val="22"/>
          <w:szCs w:val="22"/>
        </w:rPr>
        <w:t>A</w:t>
      </w:r>
      <w:r w:rsidRPr="005E2E71">
        <w:rPr>
          <w:rFonts w:ascii="Arial" w:hAnsi="Arial" w:cs="Arial"/>
          <w:bCs/>
          <w:iCs/>
          <w:sz w:val="22"/>
          <w:szCs w:val="22"/>
        </w:rPr>
        <w:t xml:space="preserve">cademic </w:t>
      </w:r>
      <w:r w:rsidR="0001339D" w:rsidRPr="005E2E71">
        <w:rPr>
          <w:rFonts w:ascii="Arial" w:hAnsi="Arial" w:cs="Arial"/>
          <w:bCs/>
          <w:iCs/>
          <w:sz w:val="22"/>
          <w:szCs w:val="22"/>
        </w:rPr>
        <w:t>A</w:t>
      </w:r>
      <w:r w:rsidRPr="005E2E71">
        <w:rPr>
          <w:rFonts w:ascii="Arial" w:hAnsi="Arial" w:cs="Arial"/>
          <w:bCs/>
          <w:iCs/>
          <w:sz w:val="22"/>
          <w:szCs w:val="22"/>
        </w:rPr>
        <w:t xml:space="preserve">ssessor, who is a registered </w:t>
      </w:r>
      <w:r w:rsidR="0001339D" w:rsidRPr="005E2E71">
        <w:rPr>
          <w:rFonts w:ascii="Arial" w:hAnsi="Arial" w:cs="Arial"/>
          <w:bCs/>
          <w:iCs/>
          <w:sz w:val="22"/>
          <w:szCs w:val="22"/>
        </w:rPr>
        <w:t>NMC</w:t>
      </w:r>
      <w:r w:rsidRPr="005E2E71">
        <w:rPr>
          <w:rFonts w:ascii="Arial" w:hAnsi="Arial" w:cs="Arial"/>
          <w:bCs/>
          <w:iCs/>
          <w:sz w:val="22"/>
          <w:szCs w:val="22"/>
        </w:rPr>
        <w:t xml:space="preserve"> prescriber with suitable</w:t>
      </w:r>
      <w:r w:rsidR="0001339D" w:rsidRPr="005E2E71">
        <w:rPr>
          <w:rFonts w:ascii="Arial" w:hAnsi="Arial" w:cs="Arial"/>
          <w:bCs/>
          <w:iCs/>
          <w:sz w:val="22"/>
          <w:szCs w:val="22"/>
        </w:rPr>
        <w:t xml:space="preserve">, equivalent qualification, and an academic member of the course team. </w:t>
      </w:r>
    </w:p>
    <w:p w14:paraId="1B50C5D9" w14:textId="77777777" w:rsidR="00A05406" w:rsidRPr="005E2E71" w:rsidRDefault="00A05406" w:rsidP="00225D4E">
      <w:pPr>
        <w:jc w:val="both"/>
        <w:rPr>
          <w:rFonts w:ascii="Arial" w:hAnsi="Arial" w:cs="Arial"/>
          <w:bCs/>
          <w:iCs/>
          <w:sz w:val="22"/>
          <w:szCs w:val="22"/>
        </w:rPr>
      </w:pPr>
    </w:p>
    <w:p w14:paraId="39F2C456" w14:textId="14495DD2" w:rsidR="00151C14" w:rsidRPr="005E2E71" w:rsidRDefault="009A4B3E" w:rsidP="00151C14">
      <w:pPr>
        <w:rPr>
          <w:rFonts w:ascii="Arial" w:hAnsi="Arial" w:cs="Arial"/>
          <w:iCs/>
          <w:sz w:val="22"/>
          <w:szCs w:val="22"/>
        </w:rPr>
      </w:pPr>
      <w:r w:rsidRPr="005E2E71">
        <w:rPr>
          <w:rFonts w:ascii="Arial" w:hAnsi="Arial" w:cs="Arial"/>
          <w:bCs/>
          <w:iCs/>
          <w:sz w:val="22"/>
          <w:szCs w:val="22"/>
        </w:rPr>
        <w:t xml:space="preserve">During the V300 module, students undertake supervised practice to demonstrate achievement of the Competency Assessment Document (CAD), which is assessed by the Practice Assessor, in consultation with Practice Supervisors and the Academic Assessor. Although no minimum number of supervised hours are required for this module, it is recommended that at least 12 days (78 hours) supervised practice will be needed to demonstrate achievement of the competencies. </w:t>
      </w:r>
      <w:r w:rsidR="003C28B6" w:rsidRPr="005E2E71">
        <w:rPr>
          <w:rFonts w:ascii="Arial" w:hAnsi="Arial" w:cs="Arial"/>
          <w:bCs/>
          <w:iCs/>
          <w:sz w:val="22"/>
          <w:szCs w:val="22"/>
        </w:rPr>
        <w:t>Identified p</w:t>
      </w:r>
      <w:r w:rsidR="008E04BE" w:rsidRPr="005E2E71">
        <w:rPr>
          <w:rFonts w:ascii="Arial" w:hAnsi="Arial" w:cs="Arial"/>
          <w:bCs/>
          <w:iCs/>
          <w:sz w:val="22"/>
          <w:szCs w:val="22"/>
        </w:rPr>
        <w:t xml:space="preserve">ractice assessors, practice supervisors and students and invited to attend a scheduled briefing at the start of the V300 module to </w:t>
      </w:r>
      <w:r w:rsidR="00E964A4" w:rsidRPr="005E2E71">
        <w:rPr>
          <w:rFonts w:ascii="Arial" w:hAnsi="Arial" w:cs="Arial"/>
          <w:bCs/>
          <w:iCs/>
          <w:sz w:val="22"/>
          <w:szCs w:val="22"/>
        </w:rPr>
        <w:t xml:space="preserve">introduce and </w:t>
      </w:r>
      <w:r w:rsidR="008E04BE" w:rsidRPr="005E2E71">
        <w:rPr>
          <w:rFonts w:ascii="Arial" w:hAnsi="Arial" w:cs="Arial"/>
          <w:bCs/>
          <w:iCs/>
          <w:sz w:val="22"/>
          <w:szCs w:val="22"/>
        </w:rPr>
        <w:t>explore the content and inte</w:t>
      </w:r>
      <w:r w:rsidR="00E964A4" w:rsidRPr="005E2E71">
        <w:rPr>
          <w:rFonts w:ascii="Arial" w:hAnsi="Arial" w:cs="Arial"/>
          <w:bCs/>
          <w:iCs/>
          <w:sz w:val="22"/>
          <w:szCs w:val="22"/>
        </w:rPr>
        <w:t xml:space="preserve">nded outcomes of the programme, together with the practice-based </w:t>
      </w:r>
      <w:r w:rsidR="008E04BE" w:rsidRPr="005E2E71">
        <w:rPr>
          <w:rFonts w:ascii="Arial" w:hAnsi="Arial" w:cs="Arial"/>
          <w:bCs/>
          <w:iCs/>
          <w:sz w:val="22"/>
          <w:szCs w:val="22"/>
        </w:rPr>
        <w:t xml:space="preserve">requirements </w:t>
      </w:r>
      <w:r w:rsidR="00E964A4" w:rsidRPr="005E2E71">
        <w:rPr>
          <w:rFonts w:ascii="Arial" w:hAnsi="Arial" w:cs="Arial"/>
          <w:bCs/>
          <w:iCs/>
          <w:sz w:val="22"/>
          <w:szCs w:val="22"/>
        </w:rPr>
        <w:t xml:space="preserve">and </w:t>
      </w:r>
      <w:r w:rsidR="00552E89" w:rsidRPr="005E2E71">
        <w:rPr>
          <w:rFonts w:ascii="Arial" w:hAnsi="Arial" w:cs="Arial"/>
          <w:bCs/>
          <w:iCs/>
          <w:sz w:val="22"/>
          <w:szCs w:val="22"/>
        </w:rPr>
        <w:t>CAD</w:t>
      </w:r>
      <w:r w:rsidR="00E964A4" w:rsidRPr="005E2E71">
        <w:rPr>
          <w:rFonts w:ascii="Arial" w:hAnsi="Arial" w:cs="Arial"/>
          <w:bCs/>
          <w:iCs/>
          <w:sz w:val="22"/>
          <w:szCs w:val="22"/>
        </w:rPr>
        <w:t xml:space="preserve">. </w:t>
      </w:r>
      <w:r w:rsidR="003C28B6" w:rsidRPr="005E2E71">
        <w:rPr>
          <w:rFonts w:ascii="Arial" w:hAnsi="Arial" w:cs="Arial"/>
          <w:bCs/>
          <w:iCs/>
          <w:sz w:val="22"/>
          <w:szCs w:val="22"/>
        </w:rPr>
        <w:t xml:space="preserve">The </w:t>
      </w:r>
      <w:r w:rsidR="00552E89" w:rsidRPr="005E2E71">
        <w:rPr>
          <w:rFonts w:ascii="Arial" w:hAnsi="Arial" w:cs="Arial"/>
          <w:bCs/>
          <w:iCs/>
          <w:sz w:val="22"/>
          <w:szCs w:val="22"/>
        </w:rPr>
        <w:t>C</w:t>
      </w:r>
      <w:r w:rsidR="003C28B6" w:rsidRPr="005E2E71">
        <w:rPr>
          <w:rFonts w:ascii="Arial" w:hAnsi="Arial" w:cs="Arial"/>
          <w:bCs/>
          <w:iCs/>
          <w:sz w:val="22"/>
          <w:szCs w:val="22"/>
        </w:rPr>
        <w:t>AD provides a framework to guide</w:t>
      </w:r>
      <w:r w:rsidR="008431C8" w:rsidRPr="005E2E71">
        <w:rPr>
          <w:rFonts w:ascii="Arial" w:hAnsi="Arial" w:cs="Arial"/>
          <w:bCs/>
          <w:iCs/>
          <w:sz w:val="22"/>
          <w:szCs w:val="22"/>
        </w:rPr>
        <w:t>, direct and assess placement learning and is used to assess the RPS (2021) competencies for prescribers</w:t>
      </w:r>
      <w:r w:rsidR="00151C14" w:rsidRPr="005E2E71">
        <w:rPr>
          <w:rFonts w:ascii="Arial" w:hAnsi="Arial" w:cs="Arial"/>
          <w:bCs/>
          <w:iCs/>
          <w:sz w:val="22"/>
          <w:szCs w:val="22"/>
        </w:rPr>
        <w:t xml:space="preserve"> and achievement of clinical logs</w:t>
      </w:r>
      <w:r w:rsidR="008431C8" w:rsidRPr="005E2E71">
        <w:rPr>
          <w:rFonts w:ascii="Arial" w:hAnsi="Arial" w:cs="Arial"/>
          <w:bCs/>
          <w:iCs/>
          <w:sz w:val="22"/>
          <w:szCs w:val="22"/>
        </w:rPr>
        <w:t>, which must be demonstrated</w:t>
      </w:r>
      <w:r w:rsidR="00151C14" w:rsidRPr="005E2E71">
        <w:rPr>
          <w:rFonts w:ascii="Arial" w:hAnsi="Arial" w:cs="Arial"/>
          <w:bCs/>
          <w:iCs/>
          <w:sz w:val="22"/>
          <w:szCs w:val="22"/>
        </w:rPr>
        <w:t xml:space="preserve"> to meet eligibility for</w:t>
      </w:r>
      <w:r w:rsidR="00151C14" w:rsidRPr="005E2E71">
        <w:rPr>
          <w:rFonts w:ascii="Arial" w:hAnsi="Arial" w:cs="Arial"/>
          <w:iCs/>
          <w:sz w:val="22"/>
          <w:szCs w:val="22"/>
        </w:rPr>
        <w:t xml:space="preserve"> NMC registration as </w:t>
      </w:r>
      <w:r w:rsidR="00552E89" w:rsidRPr="005E2E71">
        <w:rPr>
          <w:rFonts w:ascii="Arial" w:hAnsi="Arial" w:cs="Arial"/>
          <w:iCs/>
          <w:sz w:val="22"/>
          <w:szCs w:val="22"/>
        </w:rPr>
        <w:t xml:space="preserve">a </w:t>
      </w:r>
      <w:r w:rsidR="00151C14" w:rsidRPr="005E2E71">
        <w:rPr>
          <w:rFonts w:ascii="Arial" w:hAnsi="Arial" w:cs="Arial"/>
          <w:iCs/>
          <w:sz w:val="22"/>
          <w:szCs w:val="22"/>
        </w:rPr>
        <w:t>nurse or midwife</w:t>
      </w:r>
      <w:r w:rsidR="00552E89" w:rsidRPr="005E2E71">
        <w:rPr>
          <w:rFonts w:ascii="Arial" w:hAnsi="Arial" w:cs="Arial"/>
          <w:iCs/>
          <w:sz w:val="22"/>
          <w:szCs w:val="22"/>
        </w:rPr>
        <w:t xml:space="preserve"> independent/ </w:t>
      </w:r>
      <w:r w:rsidR="00151C14" w:rsidRPr="005E2E71">
        <w:rPr>
          <w:rFonts w:ascii="Arial" w:hAnsi="Arial" w:cs="Arial"/>
          <w:iCs/>
          <w:sz w:val="22"/>
          <w:szCs w:val="22"/>
        </w:rPr>
        <w:t xml:space="preserve">supplementary prescribers (V300). </w:t>
      </w:r>
      <w:r w:rsidR="00B607E4" w:rsidRPr="005E2E71">
        <w:rPr>
          <w:rFonts w:ascii="Arial" w:hAnsi="Arial" w:cs="Arial"/>
          <w:iCs/>
          <w:sz w:val="22"/>
          <w:szCs w:val="22"/>
        </w:rPr>
        <w:t>Practice Assessors</w:t>
      </w:r>
      <w:r w:rsidR="00151C14" w:rsidRPr="005E2E71">
        <w:rPr>
          <w:rFonts w:ascii="Arial" w:hAnsi="Arial" w:cs="Arial"/>
          <w:iCs/>
          <w:sz w:val="22"/>
          <w:szCs w:val="22"/>
        </w:rPr>
        <w:t xml:space="preserve"> unable to </w:t>
      </w:r>
      <w:r w:rsidR="00B607E4" w:rsidRPr="005E2E71">
        <w:rPr>
          <w:rFonts w:ascii="Arial" w:hAnsi="Arial" w:cs="Arial"/>
          <w:iCs/>
          <w:sz w:val="22"/>
          <w:szCs w:val="22"/>
        </w:rPr>
        <w:t xml:space="preserve">attend the scheduled briefing are contacted individually by the Academic </w:t>
      </w:r>
      <w:r w:rsidR="00552E89" w:rsidRPr="005E2E71">
        <w:rPr>
          <w:rFonts w:ascii="Arial" w:hAnsi="Arial" w:cs="Arial"/>
          <w:iCs/>
          <w:sz w:val="22"/>
          <w:szCs w:val="22"/>
        </w:rPr>
        <w:t>A</w:t>
      </w:r>
      <w:r w:rsidR="00B607E4" w:rsidRPr="005E2E71">
        <w:rPr>
          <w:rFonts w:ascii="Arial" w:hAnsi="Arial" w:cs="Arial"/>
          <w:iCs/>
          <w:sz w:val="22"/>
          <w:szCs w:val="22"/>
        </w:rPr>
        <w:t xml:space="preserve">ssessor/ Module Leader at the start of the module, to ensure </w:t>
      </w:r>
      <w:r w:rsidR="00552E89" w:rsidRPr="005E2E71">
        <w:rPr>
          <w:rFonts w:ascii="Arial" w:hAnsi="Arial" w:cs="Arial"/>
          <w:iCs/>
          <w:sz w:val="22"/>
          <w:szCs w:val="22"/>
        </w:rPr>
        <w:t>they understand requirements.</w:t>
      </w:r>
    </w:p>
    <w:bookmarkEnd w:id="3"/>
    <w:bookmarkEnd w:id="4"/>
    <w:p w14:paraId="56CFD154" w14:textId="0E369E69" w:rsidR="006C307E" w:rsidRPr="005E2E71" w:rsidRDefault="006C307E" w:rsidP="006C307E">
      <w:pPr>
        <w:rPr>
          <w:rFonts w:ascii="Arial" w:hAnsi="Arial" w:cs="Arial"/>
          <w:iCs/>
          <w:sz w:val="22"/>
          <w:szCs w:val="22"/>
        </w:rPr>
      </w:pPr>
    </w:p>
    <w:p w14:paraId="7D9E618C" w14:textId="77777777" w:rsidR="006C307E" w:rsidRPr="005E2E71" w:rsidRDefault="006C307E" w:rsidP="006C307E">
      <w:pPr>
        <w:rPr>
          <w:rFonts w:ascii="Arial" w:hAnsi="Arial" w:cs="Arial"/>
          <w:b/>
          <w:iCs/>
          <w:sz w:val="22"/>
          <w:szCs w:val="22"/>
        </w:rPr>
      </w:pPr>
      <w:r w:rsidRPr="005E2E71">
        <w:rPr>
          <w:rFonts w:ascii="Arial" w:hAnsi="Arial" w:cs="Arial"/>
          <w:b/>
          <w:iCs/>
          <w:sz w:val="22"/>
          <w:szCs w:val="22"/>
        </w:rPr>
        <w:t xml:space="preserve">Assessment strategy </w:t>
      </w:r>
    </w:p>
    <w:p w14:paraId="000BCBA7" w14:textId="2954D2EC" w:rsidR="00B81AC1" w:rsidRPr="005E2E71" w:rsidRDefault="006C307E" w:rsidP="006C307E">
      <w:pPr>
        <w:rPr>
          <w:rFonts w:ascii="Arial" w:hAnsi="Arial" w:cs="Arial"/>
          <w:iCs/>
          <w:sz w:val="22"/>
          <w:szCs w:val="22"/>
        </w:rPr>
      </w:pPr>
      <w:r w:rsidRPr="005E2E71">
        <w:rPr>
          <w:rFonts w:ascii="Arial" w:hAnsi="Arial" w:cs="Arial"/>
          <w:iCs/>
          <w:sz w:val="22"/>
          <w:szCs w:val="22"/>
        </w:rPr>
        <w:t xml:space="preserve">The course assessments enable students to demonstrate achievement of </w:t>
      </w:r>
      <w:r w:rsidR="00E608A0" w:rsidRPr="005E2E71">
        <w:rPr>
          <w:rFonts w:ascii="Arial" w:hAnsi="Arial" w:cs="Arial"/>
          <w:iCs/>
          <w:sz w:val="22"/>
          <w:szCs w:val="22"/>
        </w:rPr>
        <w:t>the standards for prescribing programmes (NMC, 2018)</w:t>
      </w:r>
      <w:r w:rsidRPr="005E2E71">
        <w:rPr>
          <w:rFonts w:ascii="Arial" w:hAnsi="Arial" w:cs="Arial"/>
          <w:iCs/>
          <w:sz w:val="22"/>
          <w:szCs w:val="22"/>
        </w:rPr>
        <w:t xml:space="preserve"> and </w:t>
      </w:r>
      <w:r w:rsidR="00B81AC1" w:rsidRPr="005E2E71">
        <w:rPr>
          <w:rFonts w:ascii="Arial" w:hAnsi="Arial" w:cs="Arial"/>
          <w:iCs/>
          <w:sz w:val="22"/>
          <w:szCs w:val="22"/>
        </w:rPr>
        <w:t xml:space="preserve">the </w:t>
      </w:r>
      <w:r w:rsidR="00C82944" w:rsidRPr="005E2E71">
        <w:rPr>
          <w:rFonts w:ascii="Arial" w:hAnsi="Arial" w:cs="Arial"/>
          <w:iCs/>
          <w:sz w:val="22"/>
          <w:szCs w:val="22"/>
        </w:rPr>
        <w:t xml:space="preserve">competencies for </w:t>
      </w:r>
      <w:r w:rsidR="007071F0" w:rsidRPr="005E2E71">
        <w:rPr>
          <w:rFonts w:ascii="Arial" w:hAnsi="Arial" w:cs="Arial"/>
          <w:iCs/>
          <w:sz w:val="22"/>
          <w:szCs w:val="22"/>
        </w:rPr>
        <w:t xml:space="preserve">all </w:t>
      </w:r>
      <w:r w:rsidR="00C82944" w:rsidRPr="005E2E71">
        <w:rPr>
          <w:rFonts w:ascii="Arial" w:hAnsi="Arial" w:cs="Arial"/>
          <w:iCs/>
          <w:sz w:val="22"/>
          <w:szCs w:val="22"/>
        </w:rPr>
        <w:t>prescribers (RPS, 2021)</w:t>
      </w:r>
      <w:r w:rsidR="00B81AC1" w:rsidRPr="005E2E71">
        <w:rPr>
          <w:rFonts w:ascii="Arial" w:hAnsi="Arial" w:cs="Arial"/>
          <w:iCs/>
          <w:sz w:val="22"/>
          <w:szCs w:val="22"/>
        </w:rPr>
        <w:t>, which are mapped to the individual module learning outcomes. The assessments comprise of the following elements</w:t>
      </w:r>
      <w:r w:rsidR="00745D3E" w:rsidRPr="005E2E71">
        <w:rPr>
          <w:rFonts w:ascii="Arial" w:hAnsi="Arial" w:cs="Arial"/>
          <w:iCs/>
          <w:sz w:val="22"/>
          <w:szCs w:val="22"/>
        </w:rPr>
        <w:t>.</w:t>
      </w:r>
    </w:p>
    <w:p w14:paraId="468C9AB5" w14:textId="4E5EBB52" w:rsidR="00B81AC1" w:rsidRPr="005E2E71" w:rsidRDefault="00B81AC1" w:rsidP="006C307E">
      <w:pPr>
        <w:rPr>
          <w:rFonts w:ascii="Arial" w:hAnsi="Arial" w:cs="Arial"/>
          <w:iCs/>
          <w:sz w:val="22"/>
          <w:szCs w:val="22"/>
        </w:rPr>
      </w:pPr>
    </w:p>
    <w:p w14:paraId="23451E52" w14:textId="40770DE5" w:rsidR="00B81AC1" w:rsidRPr="005E2E71" w:rsidRDefault="00B81AC1" w:rsidP="006C307E">
      <w:pPr>
        <w:rPr>
          <w:rFonts w:ascii="Arial" w:hAnsi="Arial" w:cs="Arial"/>
          <w:iCs/>
          <w:sz w:val="22"/>
          <w:szCs w:val="22"/>
        </w:rPr>
      </w:pPr>
      <w:r w:rsidRPr="005E2E71">
        <w:rPr>
          <w:rFonts w:ascii="Arial" w:hAnsi="Arial" w:cs="Arial"/>
          <w:iCs/>
          <w:sz w:val="22"/>
          <w:szCs w:val="22"/>
        </w:rPr>
        <w:t>Advanced clinical reasoning in health assessment: lifespan perspectives</w:t>
      </w:r>
      <w:r w:rsidR="00647F69" w:rsidRPr="005E2E71">
        <w:rPr>
          <w:rFonts w:ascii="Arial" w:hAnsi="Arial" w:cs="Arial"/>
          <w:iCs/>
          <w:sz w:val="22"/>
          <w:szCs w:val="22"/>
        </w:rPr>
        <w:t xml:space="preserve"> module</w:t>
      </w:r>
      <w:r w:rsidR="00552E89" w:rsidRPr="005E2E71">
        <w:rPr>
          <w:rFonts w:ascii="Arial" w:hAnsi="Arial" w:cs="Arial"/>
          <w:iCs/>
          <w:sz w:val="22"/>
          <w:szCs w:val="22"/>
        </w:rPr>
        <w:t>:</w:t>
      </w:r>
    </w:p>
    <w:p w14:paraId="7F235E7C" w14:textId="355BEBDD" w:rsidR="00B81AC1" w:rsidRPr="005E2E71" w:rsidRDefault="00C91F9A" w:rsidP="00B81AC1">
      <w:pPr>
        <w:pStyle w:val="ListParagraph"/>
        <w:numPr>
          <w:ilvl w:val="0"/>
          <w:numId w:val="4"/>
        </w:numPr>
        <w:rPr>
          <w:rFonts w:ascii="Arial" w:hAnsi="Arial" w:cs="Arial"/>
          <w:iCs/>
        </w:rPr>
      </w:pPr>
      <w:r w:rsidRPr="005E2E71">
        <w:rPr>
          <w:rFonts w:ascii="Arial" w:hAnsi="Arial" w:cs="Arial"/>
          <w:iCs/>
        </w:rPr>
        <w:t>Focussed case study analysis (</w:t>
      </w:r>
      <w:r w:rsidR="009A4B3E" w:rsidRPr="005E2E71">
        <w:rPr>
          <w:rFonts w:ascii="Arial" w:hAnsi="Arial" w:cs="Arial"/>
          <w:iCs/>
        </w:rPr>
        <w:t>3000</w:t>
      </w:r>
      <w:r w:rsidR="00B81AC1" w:rsidRPr="005E2E71">
        <w:rPr>
          <w:rFonts w:ascii="Arial" w:hAnsi="Arial" w:cs="Arial"/>
          <w:iCs/>
        </w:rPr>
        <w:t xml:space="preserve"> word</w:t>
      </w:r>
      <w:r w:rsidRPr="005E2E71">
        <w:rPr>
          <w:rFonts w:ascii="Arial" w:hAnsi="Arial" w:cs="Arial"/>
          <w:iCs/>
        </w:rPr>
        <w:t>s)</w:t>
      </w:r>
      <w:r w:rsidR="00B81AC1" w:rsidRPr="005E2E71">
        <w:rPr>
          <w:rFonts w:ascii="Arial" w:hAnsi="Arial" w:cs="Arial"/>
          <w:iCs/>
        </w:rPr>
        <w:t xml:space="preserve"> </w:t>
      </w:r>
    </w:p>
    <w:p w14:paraId="46D0E7C3" w14:textId="70DFC311" w:rsidR="00B81AC1" w:rsidRPr="005E2E71" w:rsidRDefault="00B81AC1" w:rsidP="00B81AC1">
      <w:pPr>
        <w:pStyle w:val="ListParagraph"/>
        <w:numPr>
          <w:ilvl w:val="0"/>
          <w:numId w:val="4"/>
        </w:numPr>
        <w:rPr>
          <w:rFonts w:ascii="Arial" w:hAnsi="Arial" w:cs="Arial"/>
          <w:iCs/>
        </w:rPr>
      </w:pPr>
      <w:r w:rsidRPr="005E2E71">
        <w:rPr>
          <w:rFonts w:ascii="Arial" w:hAnsi="Arial" w:cs="Arial"/>
          <w:iCs/>
        </w:rPr>
        <w:lastRenderedPageBreak/>
        <w:t>OSCE</w:t>
      </w:r>
      <w:r w:rsidR="00C91F9A" w:rsidRPr="005E2E71">
        <w:rPr>
          <w:rFonts w:ascii="Arial" w:hAnsi="Arial" w:cs="Arial"/>
          <w:iCs/>
        </w:rPr>
        <w:t xml:space="preserve"> with viva</w:t>
      </w:r>
      <w:r w:rsidR="008F5E09" w:rsidRPr="005E2E71">
        <w:rPr>
          <w:rFonts w:ascii="Arial" w:hAnsi="Arial" w:cs="Arial"/>
          <w:iCs/>
        </w:rPr>
        <w:t xml:space="preserve"> (</w:t>
      </w:r>
      <w:r w:rsidR="00C91F9A" w:rsidRPr="005E2E71">
        <w:rPr>
          <w:rFonts w:ascii="Arial" w:hAnsi="Arial" w:cs="Arial"/>
          <w:iCs/>
        </w:rPr>
        <w:t>80 mins</w:t>
      </w:r>
      <w:r w:rsidR="008F5E09" w:rsidRPr="005E2E71">
        <w:rPr>
          <w:rFonts w:ascii="Arial" w:hAnsi="Arial" w:cs="Arial"/>
          <w:iCs/>
        </w:rPr>
        <w:t>)</w:t>
      </w:r>
    </w:p>
    <w:p w14:paraId="096BE261" w14:textId="79054421" w:rsidR="00B81AC1" w:rsidRPr="005E2E71" w:rsidRDefault="00B81AC1" w:rsidP="006C307E">
      <w:pPr>
        <w:rPr>
          <w:rFonts w:ascii="Arial" w:hAnsi="Arial" w:cs="Arial"/>
          <w:iCs/>
          <w:color w:val="FF0000"/>
          <w:sz w:val="22"/>
          <w:szCs w:val="22"/>
        </w:rPr>
      </w:pPr>
    </w:p>
    <w:p w14:paraId="5A13A19E" w14:textId="325CD293" w:rsidR="00647F69" w:rsidRPr="005E2E71" w:rsidRDefault="00647F69" w:rsidP="006C307E">
      <w:pPr>
        <w:rPr>
          <w:rFonts w:ascii="Arial" w:hAnsi="Arial" w:cs="Arial"/>
          <w:iCs/>
          <w:sz w:val="22"/>
          <w:szCs w:val="22"/>
        </w:rPr>
      </w:pPr>
      <w:r w:rsidRPr="005E2E71">
        <w:rPr>
          <w:rFonts w:ascii="Arial" w:hAnsi="Arial" w:cs="Arial"/>
          <w:iCs/>
          <w:sz w:val="22"/>
          <w:szCs w:val="22"/>
        </w:rPr>
        <w:t>Independent/ supplementary prescribing for nurses and midwives (V300)</w:t>
      </w:r>
      <w:r w:rsidR="00745D3E" w:rsidRPr="005E2E71">
        <w:rPr>
          <w:rFonts w:ascii="Arial" w:hAnsi="Arial" w:cs="Arial"/>
          <w:iCs/>
          <w:sz w:val="22"/>
          <w:szCs w:val="22"/>
        </w:rPr>
        <w:t xml:space="preserve"> module</w:t>
      </w:r>
      <w:r w:rsidR="00552E89" w:rsidRPr="005E2E71">
        <w:rPr>
          <w:rFonts w:ascii="Arial" w:hAnsi="Arial" w:cs="Arial"/>
          <w:iCs/>
          <w:sz w:val="22"/>
          <w:szCs w:val="22"/>
        </w:rPr>
        <w:t>:</w:t>
      </w:r>
    </w:p>
    <w:p w14:paraId="06CED144" w14:textId="0C4D04FC" w:rsidR="005B12BF" w:rsidRPr="005E2E71" w:rsidRDefault="00552E89" w:rsidP="00647F69">
      <w:pPr>
        <w:pStyle w:val="ListParagraph"/>
        <w:numPr>
          <w:ilvl w:val="0"/>
          <w:numId w:val="6"/>
        </w:numPr>
        <w:rPr>
          <w:rFonts w:ascii="Arial" w:hAnsi="Arial" w:cs="Arial"/>
          <w:iCs/>
        </w:rPr>
      </w:pPr>
      <w:r w:rsidRPr="005E2E71">
        <w:rPr>
          <w:rFonts w:ascii="Arial" w:hAnsi="Arial" w:cs="Arial"/>
          <w:iCs/>
        </w:rPr>
        <w:t>Competency</w:t>
      </w:r>
      <w:r w:rsidR="00745D3E" w:rsidRPr="005E2E71">
        <w:rPr>
          <w:rFonts w:ascii="Arial" w:hAnsi="Arial" w:cs="Arial"/>
          <w:iCs/>
        </w:rPr>
        <w:t xml:space="preserve"> Assessment </w:t>
      </w:r>
      <w:r w:rsidR="00C91F9A" w:rsidRPr="005E2E71">
        <w:rPr>
          <w:rFonts w:ascii="Arial" w:hAnsi="Arial" w:cs="Arial"/>
          <w:iCs/>
        </w:rPr>
        <w:t>D</w:t>
      </w:r>
      <w:r w:rsidR="00745D3E" w:rsidRPr="005E2E71">
        <w:rPr>
          <w:rFonts w:ascii="Arial" w:hAnsi="Arial" w:cs="Arial"/>
          <w:iCs/>
        </w:rPr>
        <w:t xml:space="preserve">ocument: comprising the RPS (2021) competencies which are assessed in practice by the Practice Assessor, and the completion of two clinical logs, demonstrating the application of expert knowledge and critical appraisal in effective history taking, diagnosis and management. </w:t>
      </w:r>
    </w:p>
    <w:p w14:paraId="6E7A776E" w14:textId="4F09CFF0" w:rsidR="00745D3E" w:rsidRPr="005E2E71" w:rsidRDefault="00745D3E" w:rsidP="00647F69">
      <w:pPr>
        <w:pStyle w:val="ListParagraph"/>
        <w:numPr>
          <w:ilvl w:val="0"/>
          <w:numId w:val="6"/>
        </w:numPr>
        <w:rPr>
          <w:rFonts w:ascii="Arial" w:hAnsi="Arial" w:cs="Arial"/>
          <w:iCs/>
        </w:rPr>
      </w:pPr>
      <w:r w:rsidRPr="005E2E71">
        <w:rPr>
          <w:rFonts w:ascii="Arial" w:hAnsi="Arial" w:cs="Arial"/>
          <w:iCs/>
        </w:rPr>
        <w:t xml:space="preserve">Exam (1 hour): </w:t>
      </w:r>
      <w:r w:rsidR="008F5E09" w:rsidRPr="005E2E71">
        <w:rPr>
          <w:rFonts w:ascii="Arial" w:hAnsi="Arial" w:cs="Arial"/>
          <w:iCs/>
        </w:rPr>
        <w:t>consisting of pharmacology MCQs and drug related numeracy calculations</w:t>
      </w:r>
    </w:p>
    <w:p w14:paraId="467AFEC8" w14:textId="02E0949F" w:rsidR="008F5E09" w:rsidRPr="005E2E71" w:rsidRDefault="008F5E09" w:rsidP="00647F69">
      <w:pPr>
        <w:pStyle w:val="ListParagraph"/>
        <w:numPr>
          <w:ilvl w:val="0"/>
          <w:numId w:val="6"/>
        </w:numPr>
        <w:rPr>
          <w:rFonts w:ascii="Arial" w:hAnsi="Arial" w:cs="Arial"/>
          <w:iCs/>
        </w:rPr>
      </w:pPr>
      <w:r w:rsidRPr="005E2E71">
        <w:rPr>
          <w:rFonts w:ascii="Arial" w:hAnsi="Arial" w:cs="Arial"/>
          <w:iCs/>
        </w:rPr>
        <w:t xml:space="preserve">Critical appraisal </w:t>
      </w:r>
      <w:r w:rsidR="00C91F9A" w:rsidRPr="005E2E71">
        <w:rPr>
          <w:rFonts w:ascii="Arial" w:hAnsi="Arial" w:cs="Arial"/>
          <w:iCs/>
        </w:rPr>
        <w:t>(3</w:t>
      </w:r>
      <w:r w:rsidR="00C1388B" w:rsidRPr="005E2E71">
        <w:rPr>
          <w:rFonts w:ascii="Arial" w:hAnsi="Arial" w:cs="Arial"/>
          <w:iCs/>
        </w:rPr>
        <w:t>,</w:t>
      </w:r>
      <w:r w:rsidR="00C91F9A" w:rsidRPr="005E2E71">
        <w:rPr>
          <w:rFonts w:ascii="Arial" w:hAnsi="Arial" w:cs="Arial"/>
          <w:iCs/>
        </w:rPr>
        <w:t xml:space="preserve">000 words): </w:t>
      </w:r>
      <w:r w:rsidRPr="005E2E71">
        <w:rPr>
          <w:rFonts w:ascii="Arial" w:hAnsi="Arial" w:cs="Arial"/>
          <w:iCs/>
        </w:rPr>
        <w:t xml:space="preserve"> </w:t>
      </w:r>
      <w:r w:rsidR="00C91F9A" w:rsidRPr="005E2E71">
        <w:rPr>
          <w:rFonts w:ascii="Arial" w:hAnsi="Arial" w:cs="Arial"/>
          <w:iCs/>
        </w:rPr>
        <w:t xml:space="preserve">examining </w:t>
      </w:r>
      <w:r w:rsidRPr="005E2E71">
        <w:rPr>
          <w:rFonts w:ascii="Arial" w:hAnsi="Arial" w:cs="Arial"/>
          <w:iCs/>
        </w:rPr>
        <w:t>an aspect of prescribing governance relating to the student’</w:t>
      </w:r>
      <w:r w:rsidR="008911DC" w:rsidRPr="005E2E71">
        <w:rPr>
          <w:rFonts w:ascii="Arial" w:hAnsi="Arial" w:cs="Arial"/>
          <w:iCs/>
        </w:rPr>
        <w:t>s clinical area and encompassing RPS competencies 7-10.</w:t>
      </w:r>
    </w:p>
    <w:p w14:paraId="0DEF41C2" w14:textId="77777777" w:rsidR="00647F69" w:rsidRPr="005E2E71" w:rsidRDefault="00647F69" w:rsidP="006C307E">
      <w:pPr>
        <w:rPr>
          <w:rFonts w:ascii="Arial" w:hAnsi="Arial" w:cs="Arial"/>
          <w:iCs/>
          <w:sz w:val="22"/>
          <w:szCs w:val="22"/>
          <w:u w:val="single"/>
        </w:rPr>
      </w:pPr>
    </w:p>
    <w:p w14:paraId="4011367D" w14:textId="359A4DBC" w:rsidR="006C307E" w:rsidRPr="005E2E71" w:rsidRDefault="006C307E" w:rsidP="006C307E">
      <w:pPr>
        <w:rPr>
          <w:rFonts w:ascii="Arial" w:hAnsi="Arial" w:cs="Arial"/>
          <w:iCs/>
          <w:sz w:val="22"/>
          <w:szCs w:val="22"/>
        </w:rPr>
      </w:pPr>
      <w:r w:rsidRPr="005E2E71">
        <w:rPr>
          <w:rFonts w:ascii="Arial" w:hAnsi="Arial" w:cs="Arial"/>
          <w:iCs/>
          <w:sz w:val="22"/>
          <w:szCs w:val="22"/>
        </w:rPr>
        <w:t xml:space="preserve">Students are required to pass </w:t>
      </w:r>
      <w:r w:rsidR="00C91F9A" w:rsidRPr="005E2E71">
        <w:rPr>
          <w:rFonts w:ascii="Arial" w:hAnsi="Arial" w:cs="Arial"/>
          <w:iCs/>
          <w:sz w:val="22"/>
          <w:szCs w:val="22"/>
        </w:rPr>
        <w:t>all</w:t>
      </w:r>
      <w:r w:rsidRPr="005E2E71">
        <w:rPr>
          <w:rFonts w:ascii="Arial" w:hAnsi="Arial" w:cs="Arial"/>
          <w:iCs/>
          <w:sz w:val="22"/>
          <w:szCs w:val="22"/>
        </w:rPr>
        <w:t xml:space="preserve"> the theory and practice </w:t>
      </w:r>
      <w:r w:rsidR="00C91F9A" w:rsidRPr="005E2E71">
        <w:rPr>
          <w:rFonts w:ascii="Arial" w:hAnsi="Arial" w:cs="Arial"/>
          <w:iCs/>
          <w:sz w:val="22"/>
          <w:szCs w:val="22"/>
        </w:rPr>
        <w:t xml:space="preserve">elements </w:t>
      </w:r>
      <w:r w:rsidRPr="005E2E71">
        <w:rPr>
          <w:rFonts w:ascii="Arial" w:hAnsi="Arial" w:cs="Arial"/>
          <w:iCs/>
          <w:sz w:val="22"/>
          <w:szCs w:val="22"/>
        </w:rPr>
        <w:t xml:space="preserve">to achieve a pass for the course overall. </w:t>
      </w:r>
    </w:p>
    <w:p w14:paraId="6F643259" w14:textId="77777777" w:rsidR="006C307E" w:rsidRPr="005E2E71" w:rsidRDefault="006C307E" w:rsidP="006C307E">
      <w:pPr>
        <w:rPr>
          <w:rFonts w:ascii="Arial" w:hAnsi="Arial" w:cs="Arial"/>
          <w:iCs/>
          <w:sz w:val="22"/>
          <w:szCs w:val="22"/>
        </w:rPr>
      </w:pPr>
    </w:p>
    <w:p w14:paraId="71EC7179" w14:textId="25144826" w:rsidR="006C307E" w:rsidRPr="005E2E71" w:rsidRDefault="008911DC" w:rsidP="006C307E">
      <w:pPr>
        <w:rPr>
          <w:rFonts w:ascii="Arial" w:hAnsi="Arial" w:cs="Arial"/>
          <w:iCs/>
          <w:sz w:val="22"/>
          <w:szCs w:val="22"/>
        </w:rPr>
      </w:pPr>
      <w:r w:rsidRPr="005E2E71">
        <w:rPr>
          <w:rFonts w:ascii="Arial" w:hAnsi="Arial" w:cs="Arial"/>
          <w:iCs/>
          <w:sz w:val="22"/>
          <w:szCs w:val="22"/>
        </w:rPr>
        <w:t>All</w:t>
      </w:r>
      <w:r w:rsidR="006C307E" w:rsidRPr="005E2E71">
        <w:rPr>
          <w:rFonts w:ascii="Arial" w:hAnsi="Arial" w:cs="Arial"/>
          <w:iCs/>
          <w:sz w:val="22"/>
          <w:szCs w:val="22"/>
        </w:rPr>
        <w:t xml:space="preserve"> forms of assessment have a formative element which allows students to gain feedback and maximise success at the summative point. </w:t>
      </w:r>
      <w:r w:rsidRPr="005E2E71">
        <w:rPr>
          <w:rFonts w:ascii="Arial" w:hAnsi="Arial" w:cs="Arial"/>
          <w:iCs/>
          <w:sz w:val="22"/>
          <w:szCs w:val="22"/>
        </w:rPr>
        <w:t>T</w:t>
      </w:r>
      <w:r w:rsidR="006C307E" w:rsidRPr="005E2E71">
        <w:rPr>
          <w:rFonts w:ascii="Arial" w:hAnsi="Arial" w:cs="Arial"/>
          <w:iCs/>
          <w:sz w:val="22"/>
          <w:szCs w:val="22"/>
        </w:rPr>
        <w:t>h</w:t>
      </w:r>
      <w:r w:rsidR="003A37D3" w:rsidRPr="005E2E71">
        <w:rPr>
          <w:rFonts w:ascii="Arial" w:hAnsi="Arial" w:cs="Arial"/>
          <w:iCs/>
          <w:sz w:val="22"/>
          <w:szCs w:val="22"/>
        </w:rPr>
        <w:t>is</w:t>
      </w:r>
      <w:r w:rsidR="006C307E" w:rsidRPr="005E2E71">
        <w:rPr>
          <w:rFonts w:ascii="Arial" w:hAnsi="Arial" w:cs="Arial"/>
          <w:iCs/>
          <w:sz w:val="22"/>
          <w:szCs w:val="22"/>
        </w:rPr>
        <w:t xml:space="preserve"> </w:t>
      </w:r>
      <w:r w:rsidRPr="005E2E71">
        <w:rPr>
          <w:rFonts w:ascii="Arial" w:hAnsi="Arial" w:cs="Arial"/>
          <w:iCs/>
          <w:sz w:val="22"/>
          <w:szCs w:val="22"/>
        </w:rPr>
        <w:t xml:space="preserve">includes </w:t>
      </w:r>
      <w:r w:rsidR="00F035F6" w:rsidRPr="005E2E71">
        <w:rPr>
          <w:rFonts w:ascii="Arial" w:hAnsi="Arial" w:cs="Arial"/>
          <w:iCs/>
          <w:sz w:val="22"/>
          <w:szCs w:val="22"/>
        </w:rPr>
        <w:t xml:space="preserve">review of </w:t>
      </w:r>
      <w:r w:rsidR="00E805CD" w:rsidRPr="005E2E71">
        <w:rPr>
          <w:rFonts w:ascii="Arial" w:hAnsi="Arial" w:cs="Arial"/>
          <w:iCs/>
          <w:sz w:val="22"/>
          <w:szCs w:val="22"/>
        </w:rPr>
        <w:t>coursework</w:t>
      </w:r>
      <w:r w:rsidRPr="005E2E71">
        <w:rPr>
          <w:rFonts w:ascii="Arial" w:hAnsi="Arial" w:cs="Arial"/>
          <w:iCs/>
          <w:sz w:val="22"/>
          <w:szCs w:val="22"/>
        </w:rPr>
        <w:t xml:space="preserve"> plans for the coursework elements, as well as </w:t>
      </w:r>
      <w:r w:rsidR="00F035F6" w:rsidRPr="005E2E71">
        <w:rPr>
          <w:rFonts w:ascii="Arial" w:hAnsi="Arial" w:cs="Arial"/>
          <w:iCs/>
          <w:sz w:val="22"/>
          <w:szCs w:val="22"/>
        </w:rPr>
        <w:t xml:space="preserve">submission of a draft clinical log, formative assessment of the competencies, </w:t>
      </w:r>
      <w:r w:rsidR="003A37D3" w:rsidRPr="005E2E71">
        <w:rPr>
          <w:rFonts w:ascii="Arial" w:hAnsi="Arial" w:cs="Arial"/>
          <w:iCs/>
          <w:sz w:val="22"/>
          <w:szCs w:val="22"/>
        </w:rPr>
        <w:t>practice</w:t>
      </w:r>
      <w:r w:rsidR="00F035F6" w:rsidRPr="005E2E71">
        <w:rPr>
          <w:rFonts w:ascii="Arial" w:hAnsi="Arial" w:cs="Arial"/>
          <w:iCs/>
          <w:sz w:val="22"/>
          <w:szCs w:val="22"/>
        </w:rPr>
        <w:t xml:space="preserve"> OSCE </w:t>
      </w:r>
      <w:r w:rsidR="003A37D3" w:rsidRPr="005E2E71">
        <w:rPr>
          <w:rFonts w:ascii="Arial" w:hAnsi="Arial" w:cs="Arial"/>
          <w:iCs/>
          <w:sz w:val="22"/>
          <w:szCs w:val="22"/>
        </w:rPr>
        <w:t xml:space="preserve">with feedback from service users, </w:t>
      </w:r>
      <w:r w:rsidR="00F035F6" w:rsidRPr="005E2E71">
        <w:rPr>
          <w:rFonts w:ascii="Arial" w:hAnsi="Arial" w:cs="Arial"/>
          <w:iCs/>
          <w:sz w:val="22"/>
          <w:szCs w:val="22"/>
        </w:rPr>
        <w:t>and practice pharmacology MCQs and drug calculations.</w:t>
      </w:r>
      <w:r w:rsidRPr="005E2E71">
        <w:rPr>
          <w:rFonts w:ascii="Arial" w:hAnsi="Arial" w:cs="Arial"/>
          <w:iCs/>
          <w:sz w:val="22"/>
          <w:szCs w:val="22"/>
        </w:rPr>
        <w:t xml:space="preserve"> </w:t>
      </w:r>
      <w:r w:rsidR="006C307E" w:rsidRPr="005E2E71">
        <w:rPr>
          <w:rFonts w:ascii="Arial" w:hAnsi="Arial" w:cs="Arial"/>
          <w:iCs/>
          <w:sz w:val="22"/>
          <w:szCs w:val="22"/>
        </w:rPr>
        <w:t xml:space="preserve">Students are also provided with feed-forward at the summative points, which clarifies what they need to do to develop their skills in the </w:t>
      </w:r>
      <w:r w:rsidR="0096236C" w:rsidRPr="005E2E71">
        <w:rPr>
          <w:rFonts w:ascii="Arial" w:hAnsi="Arial" w:cs="Arial"/>
          <w:iCs/>
          <w:sz w:val="22"/>
          <w:szCs w:val="22"/>
        </w:rPr>
        <w:t>future and</w:t>
      </w:r>
      <w:r w:rsidR="006C307E" w:rsidRPr="005E2E71">
        <w:rPr>
          <w:rFonts w:ascii="Arial" w:hAnsi="Arial" w:cs="Arial"/>
          <w:iCs/>
          <w:sz w:val="22"/>
          <w:szCs w:val="22"/>
        </w:rPr>
        <w:t xml:space="preserve"> achieve their full potential. </w:t>
      </w:r>
      <w:r w:rsidR="0096236C" w:rsidRPr="005E2E71">
        <w:rPr>
          <w:rFonts w:ascii="Arial" w:hAnsi="Arial" w:cs="Arial"/>
          <w:iCs/>
          <w:sz w:val="22"/>
          <w:szCs w:val="22"/>
        </w:rPr>
        <w:t xml:space="preserve">Students are provided with assessment briefs </w:t>
      </w:r>
      <w:r w:rsidR="002C6F24" w:rsidRPr="005E2E71">
        <w:rPr>
          <w:rFonts w:ascii="Arial" w:hAnsi="Arial" w:cs="Arial"/>
          <w:iCs/>
          <w:sz w:val="22"/>
          <w:szCs w:val="22"/>
        </w:rPr>
        <w:t xml:space="preserve">on Canvas </w:t>
      </w:r>
      <w:r w:rsidR="0096236C" w:rsidRPr="005E2E71">
        <w:rPr>
          <w:rFonts w:ascii="Arial" w:hAnsi="Arial" w:cs="Arial"/>
          <w:iCs/>
          <w:sz w:val="22"/>
          <w:szCs w:val="22"/>
        </w:rPr>
        <w:t xml:space="preserve">at the start of each module, the format </w:t>
      </w:r>
      <w:r w:rsidR="002C6F24" w:rsidRPr="005E2E71">
        <w:rPr>
          <w:rFonts w:ascii="Arial" w:hAnsi="Arial" w:cs="Arial"/>
          <w:iCs/>
          <w:sz w:val="22"/>
          <w:szCs w:val="22"/>
        </w:rPr>
        <w:t>of</w:t>
      </w:r>
      <w:r w:rsidR="0096236C" w:rsidRPr="005E2E71">
        <w:rPr>
          <w:rFonts w:ascii="Arial" w:hAnsi="Arial" w:cs="Arial"/>
          <w:iCs/>
          <w:sz w:val="22"/>
          <w:szCs w:val="22"/>
        </w:rPr>
        <w:t xml:space="preserve"> which has </w:t>
      </w:r>
      <w:r w:rsidR="002C6F24" w:rsidRPr="005E2E71">
        <w:rPr>
          <w:rFonts w:ascii="Arial" w:hAnsi="Arial" w:cs="Arial"/>
          <w:iCs/>
          <w:sz w:val="22"/>
          <w:szCs w:val="22"/>
        </w:rPr>
        <w:t xml:space="preserve">been co-created with students and standardised across the </w:t>
      </w:r>
      <w:proofErr w:type="gramStart"/>
      <w:r w:rsidR="003A37D3" w:rsidRPr="005E2E71">
        <w:rPr>
          <w:rFonts w:ascii="Arial" w:hAnsi="Arial" w:cs="Arial"/>
          <w:iCs/>
          <w:sz w:val="22"/>
          <w:szCs w:val="22"/>
        </w:rPr>
        <w:t>F</w:t>
      </w:r>
      <w:r w:rsidR="002C6F24" w:rsidRPr="005E2E71">
        <w:rPr>
          <w:rFonts w:ascii="Arial" w:hAnsi="Arial" w:cs="Arial"/>
          <w:iCs/>
          <w:sz w:val="22"/>
          <w:szCs w:val="22"/>
        </w:rPr>
        <w:t>aculty</w:t>
      </w:r>
      <w:proofErr w:type="gramEnd"/>
      <w:r w:rsidR="002C6F24" w:rsidRPr="005E2E71">
        <w:rPr>
          <w:rFonts w:ascii="Arial" w:hAnsi="Arial" w:cs="Arial"/>
          <w:iCs/>
          <w:sz w:val="22"/>
          <w:szCs w:val="22"/>
        </w:rPr>
        <w:t>. The briefs provide</w:t>
      </w:r>
      <w:r w:rsidR="0096236C" w:rsidRPr="005E2E71">
        <w:rPr>
          <w:rFonts w:ascii="Arial" w:hAnsi="Arial" w:cs="Arial"/>
          <w:iCs/>
          <w:sz w:val="22"/>
          <w:szCs w:val="22"/>
        </w:rPr>
        <w:t xml:space="preserve"> plain-</w:t>
      </w:r>
      <w:r w:rsidR="002C6F24" w:rsidRPr="005E2E71">
        <w:rPr>
          <w:rFonts w:ascii="Arial" w:hAnsi="Arial" w:cs="Arial"/>
          <w:iCs/>
          <w:sz w:val="22"/>
          <w:szCs w:val="22"/>
        </w:rPr>
        <w:t>English guidance for the completion of</w:t>
      </w:r>
      <w:r w:rsidR="0096236C" w:rsidRPr="005E2E71">
        <w:rPr>
          <w:rFonts w:ascii="Arial" w:hAnsi="Arial" w:cs="Arial"/>
          <w:iCs/>
          <w:sz w:val="22"/>
          <w:szCs w:val="22"/>
        </w:rPr>
        <w:t xml:space="preserve"> each assessment</w:t>
      </w:r>
      <w:r w:rsidR="000D78FA" w:rsidRPr="005E2E71">
        <w:rPr>
          <w:rFonts w:ascii="Arial" w:hAnsi="Arial" w:cs="Arial"/>
          <w:iCs/>
          <w:sz w:val="22"/>
          <w:szCs w:val="22"/>
        </w:rPr>
        <w:t xml:space="preserve">, as well as hyper-links to supporting information and services, such as </w:t>
      </w:r>
      <w:r w:rsidR="0089063E" w:rsidRPr="005E2E71">
        <w:rPr>
          <w:rFonts w:ascii="Arial" w:hAnsi="Arial" w:cs="Arial"/>
          <w:iCs/>
          <w:sz w:val="22"/>
          <w:szCs w:val="22"/>
        </w:rPr>
        <w:t>Kingston University’s</w:t>
      </w:r>
      <w:r w:rsidR="000D78FA" w:rsidRPr="005E2E71">
        <w:rPr>
          <w:rFonts w:ascii="Arial" w:hAnsi="Arial" w:cs="Arial"/>
          <w:iCs/>
          <w:sz w:val="22"/>
          <w:szCs w:val="22"/>
        </w:rPr>
        <w:t xml:space="preserve"> </w:t>
      </w:r>
      <w:r w:rsidR="0089063E" w:rsidRPr="005E2E71">
        <w:rPr>
          <w:rFonts w:ascii="Arial" w:hAnsi="Arial" w:cs="Arial"/>
          <w:iCs/>
          <w:sz w:val="22"/>
          <w:szCs w:val="22"/>
        </w:rPr>
        <w:t xml:space="preserve">Academic Success Centre. Assessment literacy is further developed within scheduled exemplar sessions within each module, during which students are given the opportunity to critique anonymised samples of previous </w:t>
      </w:r>
      <w:r w:rsidR="009A64EC" w:rsidRPr="005E2E71">
        <w:rPr>
          <w:rFonts w:ascii="Arial" w:hAnsi="Arial" w:cs="Arial"/>
          <w:iCs/>
          <w:sz w:val="22"/>
          <w:szCs w:val="22"/>
        </w:rPr>
        <w:t xml:space="preserve">coursework </w:t>
      </w:r>
      <w:r w:rsidR="0089063E" w:rsidRPr="005E2E71">
        <w:rPr>
          <w:rFonts w:ascii="Arial" w:hAnsi="Arial" w:cs="Arial"/>
          <w:iCs/>
          <w:sz w:val="22"/>
          <w:szCs w:val="22"/>
        </w:rPr>
        <w:t>submissions</w:t>
      </w:r>
      <w:r w:rsidR="009A64EC" w:rsidRPr="005E2E71">
        <w:rPr>
          <w:rFonts w:ascii="Arial" w:hAnsi="Arial" w:cs="Arial"/>
          <w:iCs/>
          <w:sz w:val="22"/>
          <w:szCs w:val="22"/>
        </w:rPr>
        <w:t xml:space="preserve">, in the context of expectations within the School of Nursing’s </w:t>
      </w:r>
      <w:r w:rsidR="00280F96" w:rsidRPr="005E2E71">
        <w:rPr>
          <w:rFonts w:ascii="Arial" w:hAnsi="Arial" w:cs="Arial"/>
          <w:iCs/>
          <w:sz w:val="22"/>
          <w:szCs w:val="22"/>
        </w:rPr>
        <w:t xml:space="preserve">generic </w:t>
      </w:r>
      <w:r w:rsidR="009A64EC" w:rsidRPr="005E2E71">
        <w:rPr>
          <w:rFonts w:ascii="Arial" w:hAnsi="Arial" w:cs="Arial"/>
          <w:iCs/>
          <w:sz w:val="22"/>
          <w:szCs w:val="22"/>
        </w:rPr>
        <w:t>level 7 marking rubric and t</w:t>
      </w:r>
      <w:r w:rsidR="003A37D3" w:rsidRPr="005E2E71">
        <w:rPr>
          <w:rFonts w:ascii="Arial" w:hAnsi="Arial" w:cs="Arial"/>
          <w:iCs/>
          <w:sz w:val="22"/>
          <w:szCs w:val="22"/>
        </w:rPr>
        <w:t>he module</w:t>
      </w:r>
      <w:r w:rsidR="009A64EC" w:rsidRPr="005E2E71">
        <w:rPr>
          <w:rFonts w:ascii="Arial" w:hAnsi="Arial" w:cs="Arial"/>
          <w:iCs/>
          <w:sz w:val="22"/>
          <w:szCs w:val="22"/>
        </w:rPr>
        <w:t xml:space="preserve"> specific learning outcomes. </w:t>
      </w:r>
    </w:p>
    <w:p w14:paraId="57D70420" w14:textId="77777777" w:rsidR="006C307E" w:rsidRPr="005E2E71" w:rsidRDefault="006C307E" w:rsidP="00A92C9B">
      <w:pPr>
        <w:rPr>
          <w:rFonts w:ascii="Arial" w:hAnsi="Arial" w:cs="Arial"/>
          <w:iCs/>
          <w:sz w:val="22"/>
          <w:szCs w:val="22"/>
        </w:rPr>
      </w:pPr>
    </w:p>
    <w:p w14:paraId="1FD7F9D6" w14:textId="77777777" w:rsidR="00A92C9B" w:rsidRPr="005E2E71" w:rsidRDefault="00A92C9B" w:rsidP="00A92C9B">
      <w:pPr>
        <w:numPr>
          <w:ilvl w:val="0"/>
          <w:numId w:val="1"/>
        </w:numPr>
        <w:rPr>
          <w:rFonts w:ascii="Arial" w:hAnsi="Arial" w:cs="Arial"/>
          <w:b/>
          <w:sz w:val="22"/>
          <w:szCs w:val="22"/>
        </w:rPr>
      </w:pPr>
      <w:r w:rsidRPr="005E2E71">
        <w:rPr>
          <w:rFonts w:ascii="Arial" w:hAnsi="Arial" w:cs="Arial"/>
          <w:b/>
          <w:sz w:val="22"/>
          <w:szCs w:val="22"/>
        </w:rPr>
        <w:t>Support for Students and their Learning</w:t>
      </w:r>
    </w:p>
    <w:p w14:paraId="3B9858B7" w14:textId="77777777" w:rsidR="00A92C9B" w:rsidRPr="005E2E71" w:rsidRDefault="00A92C9B" w:rsidP="00A92C9B">
      <w:pPr>
        <w:rPr>
          <w:rFonts w:ascii="Arial" w:hAnsi="Arial" w:cs="Arial"/>
          <w:b/>
          <w:sz w:val="22"/>
          <w:szCs w:val="22"/>
        </w:rPr>
      </w:pPr>
    </w:p>
    <w:p w14:paraId="1994C094" w14:textId="3E8A7F12" w:rsidR="00E805CD" w:rsidRPr="005E2E71" w:rsidRDefault="006719D8" w:rsidP="00E805CD">
      <w:pPr>
        <w:rPr>
          <w:rFonts w:ascii="Arial" w:hAnsi="Arial" w:cs="Arial"/>
          <w:sz w:val="22"/>
          <w:szCs w:val="22"/>
          <w:lang w:val="en-US"/>
        </w:rPr>
      </w:pPr>
      <w:bookmarkStart w:id="5" w:name="_Hlk535763314"/>
      <w:r w:rsidRPr="005E2E71">
        <w:rPr>
          <w:rFonts w:ascii="Arial" w:hAnsi="Arial" w:cs="Arial"/>
          <w:sz w:val="22"/>
          <w:szCs w:val="22"/>
          <w:lang w:val="en-US"/>
        </w:rPr>
        <w:t xml:space="preserve">Students </w:t>
      </w:r>
      <w:r w:rsidR="00EA46B5" w:rsidRPr="005E2E71">
        <w:rPr>
          <w:rFonts w:ascii="Arial" w:hAnsi="Arial" w:cs="Arial"/>
          <w:sz w:val="22"/>
          <w:szCs w:val="22"/>
          <w:lang w:val="en-US"/>
        </w:rPr>
        <w:t>undertaking the V300</w:t>
      </w:r>
      <w:r w:rsidRPr="005E2E71">
        <w:rPr>
          <w:rFonts w:ascii="Arial" w:hAnsi="Arial" w:cs="Arial"/>
          <w:sz w:val="22"/>
          <w:szCs w:val="22"/>
          <w:lang w:val="en-US"/>
        </w:rPr>
        <w:t xml:space="preserve"> programme may have been away from formal education for </w:t>
      </w:r>
      <w:r w:rsidR="009A4B3E" w:rsidRPr="005E2E71">
        <w:rPr>
          <w:rFonts w:ascii="Arial" w:hAnsi="Arial" w:cs="Arial"/>
          <w:sz w:val="22"/>
          <w:szCs w:val="22"/>
          <w:lang w:val="en-US"/>
        </w:rPr>
        <w:t>a while</w:t>
      </w:r>
      <w:r w:rsidRPr="005E2E71">
        <w:rPr>
          <w:rFonts w:ascii="Arial" w:hAnsi="Arial" w:cs="Arial"/>
          <w:sz w:val="22"/>
          <w:szCs w:val="22"/>
          <w:lang w:val="en-US"/>
        </w:rPr>
        <w:t xml:space="preserve">; may be new to level </w:t>
      </w:r>
      <w:r w:rsidR="00B44C3D" w:rsidRPr="005E2E71">
        <w:rPr>
          <w:rFonts w:ascii="Arial" w:hAnsi="Arial" w:cs="Arial"/>
          <w:sz w:val="22"/>
          <w:szCs w:val="22"/>
          <w:lang w:val="en-US"/>
        </w:rPr>
        <w:t>7</w:t>
      </w:r>
      <w:r w:rsidRPr="005E2E71">
        <w:rPr>
          <w:rFonts w:ascii="Arial" w:hAnsi="Arial" w:cs="Arial"/>
          <w:sz w:val="22"/>
          <w:szCs w:val="22"/>
          <w:lang w:val="en-US"/>
        </w:rPr>
        <w:t xml:space="preserve"> study and</w:t>
      </w:r>
      <w:r w:rsidR="005E45A5" w:rsidRPr="005E2E71">
        <w:rPr>
          <w:rFonts w:ascii="Arial" w:hAnsi="Arial" w:cs="Arial"/>
          <w:sz w:val="22"/>
          <w:szCs w:val="22"/>
          <w:lang w:val="en-US"/>
        </w:rPr>
        <w:t xml:space="preserve"> may need some support to develop and update academic and IT skills</w:t>
      </w:r>
      <w:r w:rsidR="00126995" w:rsidRPr="005E2E71">
        <w:rPr>
          <w:rFonts w:ascii="Arial" w:hAnsi="Arial" w:cs="Arial"/>
          <w:sz w:val="22"/>
          <w:szCs w:val="22"/>
          <w:lang w:val="en-US"/>
        </w:rPr>
        <w:t>.</w:t>
      </w:r>
      <w:r w:rsidR="00305FB8" w:rsidRPr="005E2E71">
        <w:rPr>
          <w:rFonts w:ascii="Arial" w:hAnsi="Arial" w:cs="Arial"/>
          <w:sz w:val="22"/>
          <w:szCs w:val="22"/>
          <w:lang w:val="en-US"/>
        </w:rPr>
        <w:t xml:space="preserve"> </w:t>
      </w:r>
      <w:r w:rsidRPr="005E2E71">
        <w:rPr>
          <w:rFonts w:ascii="Arial" w:hAnsi="Arial" w:cs="Arial"/>
          <w:sz w:val="22"/>
          <w:szCs w:val="22"/>
          <w:lang w:val="en-US"/>
        </w:rPr>
        <w:t xml:space="preserve">Academic </w:t>
      </w:r>
      <w:r w:rsidR="00A33E00" w:rsidRPr="005E2E71">
        <w:rPr>
          <w:rFonts w:ascii="Arial" w:hAnsi="Arial" w:cs="Arial"/>
          <w:sz w:val="22"/>
          <w:szCs w:val="22"/>
          <w:lang w:val="en-US"/>
        </w:rPr>
        <w:t>skills</w:t>
      </w:r>
      <w:r w:rsidRPr="005E2E71">
        <w:rPr>
          <w:rFonts w:ascii="Arial" w:hAnsi="Arial" w:cs="Arial"/>
          <w:sz w:val="22"/>
          <w:szCs w:val="22"/>
          <w:lang w:val="en-US"/>
        </w:rPr>
        <w:t xml:space="preserve"> support is introduced early on the timetable</w:t>
      </w:r>
      <w:r w:rsidR="00A33E00" w:rsidRPr="005E2E71">
        <w:rPr>
          <w:rFonts w:ascii="Arial" w:hAnsi="Arial" w:cs="Arial"/>
          <w:sz w:val="22"/>
          <w:szCs w:val="22"/>
          <w:lang w:val="en-US"/>
        </w:rPr>
        <w:t>, with Canvas navigation</w:t>
      </w:r>
      <w:r w:rsidR="00F809C1" w:rsidRPr="005E2E71">
        <w:rPr>
          <w:rFonts w:ascii="Arial" w:hAnsi="Arial" w:cs="Arial"/>
          <w:sz w:val="22"/>
          <w:szCs w:val="22"/>
          <w:lang w:val="en-US"/>
        </w:rPr>
        <w:t>,</w:t>
      </w:r>
      <w:r w:rsidR="00A33E00" w:rsidRPr="005E2E71">
        <w:rPr>
          <w:rFonts w:ascii="Arial" w:hAnsi="Arial" w:cs="Arial"/>
          <w:sz w:val="22"/>
          <w:szCs w:val="22"/>
          <w:lang w:val="en-US"/>
        </w:rPr>
        <w:t xml:space="preserve"> overview of the library and data base searching </w:t>
      </w:r>
      <w:r w:rsidR="00F809C1" w:rsidRPr="005E2E71">
        <w:rPr>
          <w:rFonts w:ascii="Arial" w:hAnsi="Arial" w:cs="Arial"/>
          <w:sz w:val="22"/>
          <w:szCs w:val="22"/>
          <w:lang w:val="en-US"/>
        </w:rPr>
        <w:t xml:space="preserve">sessions </w:t>
      </w:r>
      <w:r w:rsidR="00A33E00" w:rsidRPr="005E2E71">
        <w:rPr>
          <w:rFonts w:ascii="Arial" w:hAnsi="Arial" w:cs="Arial"/>
          <w:sz w:val="22"/>
          <w:szCs w:val="22"/>
          <w:lang w:val="en-US"/>
        </w:rPr>
        <w:t>integrated into the first taught day</w:t>
      </w:r>
      <w:r w:rsidR="003C7CC6" w:rsidRPr="005E2E71">
        <w:rPr>
          <w:rFonts w:ascii="Arial" w:hAnsi="Arial" w:cs="Arial"/>
          <w:sz w:val="22"/>
          <w:szCs w:val="22"/>
          <w:lang w:val="en-US"/>
        </w:rPr>
        <w:t xml:space="preserve"> of each module, followed by sessions related to referencing, critical thinking skills, numeracy</w:t>
      </w:r>
      <w:r w:rsidR="00126995" w:rsidRPr="005E2E71">
        <w:rPr>
          <w:rFonts w:ascii="Arial" w:hAnsi="Arial" w:cs="Arial"/>
          <w:sz w:val="22"/>
          <w:szCs w:val="22"/>
          <w:lang w:val="en-US"/>
        </w:rPr>
        <w:t xml:space="preserve"> skills</w:t>
      </w:r>
      <w:r w:rsidR="003C7CC6" w:rsidRPr="005E2E71">
        <w:rPr>
          <w:rFonts w:ascii="Arial" w:hAnsi="Arial" w:cs="Arial"/>
          <w:sz w:val="22"/>
          <w:szCs w:val="22"/>
          <w:lang w:val="en-US"/>
        </w:rPr>
        <w:t xml:space="preserve"> and other aspects of academic practice.</w:t>
      </w:r>
      <w:r w:rsidRPr="005E2E71">
        <w:rPr>
          <w:rFonts w:ascii="Arial" w:hAnsi="Arial" w:cs="Arial"/>
          <w:sz w:val="22"/>
          <w:szCs w:val="22"/>
          <w:lang w:val="en-US"/>
        </w:rPr>
        <w:t xml:space="preserve"> In addition to timetabled academic support,</w:t>
      </w:r>
      <w:r w:rsidR="003F6436" w:rsidRPr="005E2E71">
        <w:rPr>
          <w:rFonts w:ascii="Arial" w:hAnsi="Arial" w:cs="Arial"/>
          <w:sz w:val="22"/>
          <w:szCs w:val="22"/>
          <w:lang w:val="en-US"/>
        </w:rPr>
        <w:t xml:space="preserve"> students are supported through the following course specific services. </w:t>
      </w:r>
      <w:r w:rsidRPr="005E2E71">
        <w:rPr>
          <w:rFonts w:ascii="Arial" w:hAnsi="Arial" w:cs="Arial"/>
          <w:sz w:val="22"/>
          <w:szCs w:val="22"/>
          <w:lang w:val="en-US"/>
        </w:rPr>
        <w:t xml:space="preserve"> </w:t>
      </w:r>
    </w:p>
    <w:p w14:paraId="6B9119A9" w14:textId="77777777" w:rsidR="00E805CD" w:rsidRPr="005E2E71" w:rsidRDefault="00E805CD" w:rsidP="00E805CD">
      <w:pPr>
        <w:rPr>
          <w:rFonts w:ascii="Arial" w:hAnsi="Arial" w:cs="Arial"/>
          <w:sz w:val="22"/>
          <w:szCs w:val="22"/>
          <w:lang w:val="en-US"/>
        </w:rPr>
      </w:pPr>
    </w:p>
    <w:p w14:paraId="5B4F7926" w14:textId="58AC7854" w:rsidR="006719D8" w:rsidRPr="005E2E71" w:rsidRDefault="006719D8" w:rsidP="00E805CD">
      <w:pPr>
        <w:pStyle w:val="ListParagraph"/>
        <w:numPr>
          <w:ilvl w:val="0"/>
          <w:numId w:val="11"/>
        </w:numPr>
        <w:rPr>
          <w:rFonts w:ascii="Arial" w:hAnsi="Arial" w:cs="Arial"/>
        </w:rPr>
      </w:pPr>
      <w:r w:rsidRPr="005E2E71">
        <w:rPr>
          <w:rFonts w:ascii="Arial" w:hAnsi="Arial" w:cs="Arial"/>
        </w:rPr>
        <w:t>Module Leader</w:t>
      </w:r>
      <w:r w:rsidR="00D358D3" w:rsidRPr="005E2E71">
        <w:rPr>
          <w:rFonts w:ascii="Arial" w:hAnsi="Arial" w:cs="Arial"/>
        </w:rPr>
        <w:t>s</w:t>
      </w:r>
      <w:r w:rsidRPr="005E2E71">
        <w:rPr>
          <w:rFonts w:ascii="Arial" w:hAnsi="Arial" w:cs="Arial"/>
        </w:rPr>
        <w:t xml:space="preserve"> and teaching team: the course team are the primary source for academic support and assignment supervision. They coordinate tutorial support for the formative and summative submissions and ensure appropriate feedback and feed forward is provided. The course team will refer students in need of additional support.</w:t>
      </w:r>
    </w:p>
    <w:p w14:paraId="6EA95488" w14:textId="77777777" w:rsidR="00D358D3" w:rsidRPr="005E2E71" w:rsidRDefault="00D358D3" w:rsidP="00D358D3">
      <w:pPr>
        <w:ind w:left="360"/>
        <w:rPr>
          <w:rFonts w:ascii="Arial" w:hAnsi="Arial" w:cs="Arial"/>
          <w:sz w:val="22"/>
          <w:szCs w:val="22"/>
        </w:rPr>
      </w:pPr>
    </w:p>
    <w:p w14:paraId="12E79840" w14:textId="711CE4A2"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Specialist Lecturer with a remit for academic support: students can self-refer or be referred by any member of academic staff for one-to-one tutoring to support writing/academic skills; English language development; learning difference needs (</w:t>
      </w:r>
      <w:proofErr w:type="gramStart"/>
      <w:r w:rsidRPr="005E2E71">
        <w:rPr>
          <w:rFonts w:ascii="Arial" w:hAnsi="Arial" w:cs="Arial"/>
          <w:sz w:val="22"/>
          <w:szCs w:val="22"/>
        </w:rPr>
        <w:t>e.g.</w:t>
      </w:r>
      <w:proofErr w:type="gramEnd"/>
      <w:r w:rsidRPr="005E2E71">
        <w:rPr>
          <w:rFonts w:ascii="Arial" w:hAnsi="Arial" w:cs="Arial"/>
          <w:sz w:val="22"/>
          <w:szCs w:val="22"/>
        </w:rPr>
        <w:t xml:space="preserve"> dyslexia). </w:t>
      </w:r>
    </w:p>
    <w:p w14:paraId="7C7C052C" w14:textId="77777777" w:rsidR="00D358D3" w:rsidRPr="005E2E71" w:rsidRDefault="00D358D3" w:rsidP="00D358D3">
      <w:pPr>
        <w:rPr>
          <w:rFonts w:ascii="Arial" w:hAnsi="Arial" w:cs="Arial"/>
          <w:sz w:val="22"/>
          <w:szCs w:val="22"/>
        </w:rPr>
      </w:pPr>
    </w:p>
    <w:p w14:paraId="59C882E0" w14:textId="606338BC"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Numeracy Support Lecturer: students can self-refer or be referred for one-to-one and group practical support.</w:t>
      </w:r>
    </w:p>
    <w:p w14:paraId="5984816D" w14:textId="77777777" w:rsidR="00D358D3" w:rsidRPr="005E2E71" w:rsidRDefault="00D358D3" w:rsidP="00D358D3">
      <w:pPr>
        <w:rPr>
          <w:rFonts w:ascii="Arial" w:hAnsi="Arial" w:cs="Arial"/>
          <w:sz w:val="22"/>
          <w:szCs w:val="22"/>
        </w:rPr>
      </w:pPr>
    </w:p>
    <w:p w14:paraId="7C51AAFB" w14:textId="0CA14B9A"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 xml:space="preserve">Personal Tutor: every student is allocated a personal tutor (usually the </w:t>
      </w:r>
      <w:r w:rsidR="00D358D3" w:rsidRPr="005E2E71">
        <w:rPr>
          <w:rFonts w:ascii="Arial" w:hAnsi="Arial" w:cs="Arial"/>
          <w:sz w:val="22"/>
          <w:szCs w:val="22"/>
        </w:rPr>
        <w:t>Module</w:t>
      </w:r>
      <w:r w:rsidRPr="005E2E71">
        <w:rPr>
          <w:rFonts w:ascii="Arial" w:hAnsi="Arial" w:cs="Arial"/>
          <w:sz w:val="22"/>
          <w:szCs w:val="22"/>
        </w:rPr>
        <w:t xml:space="preserve"> Leader) who </w:t>
      </w:r>
      <w:r w:rsidR="00D358D3" w:rsidRPr="005E2E71">
        <w:rPr>
          <w:rFonts w:ascii="Arial" w:hAnsi="Arial" w:cs="Arial"/>
          <w:sz w:val="22"/>
          <w:szCs w:val="22"/>
        </w:rPr>
        <w:t xml:space="preserve">can </w:t>
      </w:r>
      <w:r w:rsidRPr="005E2E71">
        <w:rPr>
          <w:rFonts w:ascii="Arial" w:hAnsi="Arial" w:cs="Arial"/>
          <w:sz w:val="22"/>
          <w:szCs w:val="22"/>
        </w:rPr>
        <w:t xml:space="preserve">provides pastoral support and refer to additional support services where needed. </w:t>
      </w:r>
    </w:p>
    <w:p w14:paraId="3DC84AF4" w14:textId="77777777" w:rsidR="003F6436" w:rsidRPr="005E2E71" w:rsidRDefault="003F6436" w:rsidP="003F6436">
      <w:pPr>
        <w:pStyle w:val="ListParagraph"/>
        <w:rPr>
          <w:rFonts w:ascii="Arial" w:hAnsi="Arial" w:cs="Arial"/>
        </w:rPr>
      </w:pPr>
    </w:p>
    <w:p w14:paraId="22DE1B41" w14:textId="572F1799" w:rsidR="003F6436" w:rsidRPr="005E2E71" w:rsidRDefault="003F6436" w:rsidP="003F6436">
      <w:pPr>
        <w:numPr>
          <w:ilvl w:val="0"/>
          <w:numId w:val="7"/>
        </w:numPr>
        <w:rPr>
          <w:rFonts w:ascii="Arial" w:hAnsi="Arial" w:cs="Arial"/>
          <w:sz w:val="22"/>
          <w:szCs w:val="22"/>
        </w:rPr>
      </w:pPr>
      <w:r w:rsidRPr="005E2E71">
        <w:rPr>
          <w:rFonts w:ascii="Arial" w:hAnsi="Arial" w:cs="Arial"/>
          <w:sz w:val="22"/>
          <w:szCs w:val="22"/>
        </w:rPr>
        <w:t xml:space="preserve">Practice learning support: each student is allocated a named Practice Assessor, Practice Supervisor and Academic Assessor, who work together to ensure students are supported and facilitated to maximise the learning opportunities in their area and </w:t>
      </w:r>
      <w:proofErr w:type="gramStart"/>
      <w:r w:rsidRPr="005E2E71">
        <w:rPr>
          <w:rFonts w:ascii="Arial" w:hAnsi="Arial" w:cs="Arial"/>
          <w:sz w:val="22"/>
          <w:szCs w:val="22"/>
        </w:rPr>
        <w:t>are able to</w:t>
      </w:r>
      <w:proofErr w:type="gramEnd"/>
      <w:r w:rsidRPr="005E2E71">
        <w:rPr>
          <w:rFonts w:ascii="Arial" w:hAnsi="Arial" w:cs="Arial"/>
          <w:sz w:val="22"/>
          <w:szCs w:val="22"/>
        </w:rPr>
        <w:t xml:space="preserve"> achieve the competency requirements for the course. The Academic Assessor is usually the Module Leader, who integrates this role with that of Personal Tutor to ensure the student receives holistic support in both the academic and practice-based aspects of the course.  Additional support may also be available locally, such as practice educators and link lecturers. Further details about practice learning support roles can be found in the Competency Assessment Document. </w:t>
      </w:r>
    </w:p>
    <w:p w14:paraId="28B6EE1B" w14:textId="77777777" w:rsidR="003F6436" w:rsidRPr="005E2E71" w:rsidRDefault="003F6436" w:rsidP="003F6436">
      <w:pPr>
        <w:pStyle w:val="ListParagraph"/>
        <w:rPr>
          <w:rFonts w:ascii="Arial" w:hAnsi="Arial" w:cs="Arial"/>
        </w:rPr>
      </w:pPr>
    </w:p>
    <w:p w14:paraId="44A929D7" w14:textId="1C6F61F4" w:rsidR="003F6436" w:rsidRPr="005E2E71" w:rsidRDefault="003F6436" w:rsidP="003F6436">
      <w:pPr>
        <w:rPr>
          <w:rFonts w:ascii="Arial" w:hAnsi="Arial" w:cs="Arial"/>
          <w:sz w:val="22"/>
          <w:szCs w:val="22"/>
        </w:rPr>
      </w:pPr>
      <w:r w:rsidRPr="005E2E71">
        <w:rPr>
          <w:rFonts w:ascii="Arial" w:hAnsi="Arial" w:cs="Arial"/>
          <w:sz w:val="22"/>
          <w:szCs w:val="22"/>
        </w:rPr>
        <w:t>Students are also signposted to the following range of centralized support services within Kingston University.</w:t>
      </w:r>
    </w:p>
    <w:p w14:paraId="76BA5114" w14:textId="77777777" w:rsidR="00D358D3" w:rsidRPr="005E2E71" w:rsidRDefault="00D358D3" w:rsidP="00D358D3">
      <w:pPr>
        <w:rPr>
          <w:rFonts w:ascii="Arial" w:hAnsi="Arial" w:cs="Arial"/>
          <w:sz w:val="22"/>
          <w:szCs w:val="22"/>
        </w:rPr>
      </w:pPr>
    </w:p>
    <w:p w14:paraId="641956B1" w14:textId="044A8950"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Academic S</w:t>
      </w:r>
      <w:r w:rsidR="00126995" w:rsidRPr="005E2E71">
        <w:rPr>
          <w:rFonts w:ascii="Arial" w:hAnsi="Arial" w:cs="Arial"/>
          <w:sz w:val="22"/>
          <w:szCs w:val="22"/>
        </w:rPr>
        <w:t>uccess</w:t>
      </w:r>
      <w:r w:rsidRPr="005E2E71">
        <w:rPr>
          <w:rFonts w:ascii="Arial" w:hAnsi="Arial" w:cs="Arial"/>
          <w:sz w:val="22"/>
          <w:szCs w:val="22"/>
        </w:rPr>
        <w:t xml:space="preserve"> Centre: self-referral drop-in centres staffed by specialist academic support lecturers who provide small group and one to one support.</w:t>
      </w:r>
    </w:p>
    <w:p w14:paraId="2D02C009" w14:textId="77777777" w:rsidR="003C7CC6" w:rsidRPr="005E2E71" w:rsidRDefault="003C7CC6" w:rsidP="003C7CC6">
      <w:pPr>
        <w:rPr>
          <w:rFonts w:ascii="Arial" w:hAnsi="Arial" w:cs="Arial"/>
          <w:sz w:val="22"/>
          <w:szCs w:val="22"/>
        </w:rPr>
      </w:pPr>
    </w:p>
    <w:p w14:paraId="3B1FB9B7" w14:textId="0EA46611"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Canvas: The University uses Canvas as its V</w:t>
      </w:r>
      <w:r w:rsidR="00FD143F" w:rsidRPr="005E2E71">
        <w:rPr>
          <w:rFonts w:ascii="Arial" w:hAnsi="Arial" w:cs="Arial"/>
          <w:sz w:val="22"/>
          <w:szCs w:val="22"/>
        </w:rPr>
        <w:t xml:space="preserve">LE </w:t>
      </w:r>
      <w:r w:rsidRPr="005E2E71">
        <w:rPr>
          <w:rFonts w:ascii="Arial" w:hAnsi="Arial" w:cs="Arial"/>
          <w:sz w:val="22"/>
          <w:szCs w:val="22"/>
        </w:rPr>
        <w:t>which provides a versatile, interactive learning environment.</w:t>
      </w:r>
      <w:r w:rsidR="00907BB6" w:rsidRPr="005E2E71">
        <w:rPr>
          <w:rFonts w:ascii="Arial" w:hAnsi="Arial" w:cs="Arial"/>
          <w:sz w:val="22"/>
          <w:szCs w:val="22"/>
        </w:rPr>
        <w:t xml:space="preserve"> All students have access to a </w:t>
      </w:r>
      <w:r w:rsidR="00F809C1" w:rsidRPr="005E2E71">
        <w:rPr>
          <w:rFonts w:ascii="Arial" w:hAnsi="Arial" w:cs="Arial"/>
          <w:sz w:val="22"/>
          <w:szCs w:val="22"/>
        </w:rPr>
        <w:t xml:space="preserve">‘Get Ready for </w:t>
      </w:r>
      <w:r w:rsidR="00907BB6" w:rsidRPr="005E2E71">
        <w:rPr>
          <w:rFonts w:ascii="Arial" w:hAnsi="Arial" w:cs="Arial"/>
          <w:sz w:val="22"/>
          <w:szCs w:val="22"/>
        </w:rPr>
        <w:t>Canvas</w:t>
      </w:r>
      <w:r w:rsidR="00F809C1" w:rsidRPr="005E2E71">
        <w:rPr>
          <w:rFonts w:ascii="Arial" w:hAnsi="Arial" w:cs="Arial"/>
          <w:sz w:val="22"/>
          <w:szCs w:val="22"/>
        </w:rPr>
        <w:t>’</w:t>
      </w:r>
      <w:r w:rsidR="00907BB6" w:rsidRPr="005E2E71">
        <w:rPr>
          <w:rFonts w:ascii="Arial" w:hAnsi="Arial" w:cs="Arial"/>
          <w:sz w:val="22"/>
          <w:szCs w:val="22"/>
        </w:rPr>
        <w:t xml:space="preserve"> module</w:t>
      </w:r>
      <w:r w:rsidR="00F809C1" w:rsidRPr="005E2E71">
        <w:rPr>
          <w:rFonts w:ascii="Arial" w:hAnsi="Arial" w:cs="Arial"/>
          <w:sz w:val="22"/>
          <w:szCs w:val="22"/>
        </w:rPr>
        <w:t>,</w:t>
      </w:r>
      <w:r w:rsidR="00907BB6" w:rsidRPr="005E2E71">
        <w:rPr>
          <w:rFonts w:ascii="Arial" w:hAnsi="Arial" w:cs="Arial"/>
          <w:sz w:val="22"/>
          <w:szCs w:val="22"/>
        </w:rPr>
        <w:t xml:space="preserve"> which supports </w:t>
      </w:r>
      <w:r w:rsidR="00F809C1" w:rsidRPr="005E2E71">
        <w:rPr>
          <w:rFonts w:ascii="Arial" w:hAnsi="Arial" w:cs="Arial"/>
          <w:sz w:val="22"/>
          <w:szCs w:val="22"/>
        </w:rPr>
        <w:t>effective use of the platform.</w:t>
      </w:r>
    </w:p>
    <w:p w14:paraId="1E1E64D2" w14:textId="77777777" w:rsidR="003C7CC6" w:rsidRPr="005E2E71" w:rsidRDefault="003C7CC6" w:rsidP="003C7CC6">
      <w:pPr>
        <w:rPr>
          <w:rFonts w:ascii="Arial" w:hAnsi="Arial" w:cs="Arial"/>
          <w:sz w:val="22"/>
          <w:szCs w:val="22"/>
        </w:rPr>
      </w:pPr>
    </w:p>
    <w:p w14:paraId="4B246D28" w14:textId="3F4D3A11"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IT support: Canvas has its own dedicated 24-hour support available to students. Additional IT support can be accessed via ‘My Kingston’.</w:t>
      </w:r>
    </w:p>
    <w:p w14:paraId="10B976E5" w14:textId="77777777" w:rsidR="003C7CC6" w:rsidRPr="005E2E71" w:rsidRDefault="003C7CC6" w:rsidP="003C7CC6">
      <w:pPr>
        <w:rPr>
          <w:rFonts w:ascii="Arial" w:hAnsi="Arial" w:cs="Arial"/>
          <w:sz w:val="22"/>
          <w:szCs w:val="22"/>
        </w:rPr>
      </w:pPr>
    </w:p>
    <w:p w14:paraId="4F7C82E7" w14:textId="0DEA87A8"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 xml:space="preserve">Faculty Student Achievement Officer: This is a non-academic role which provides pastoral support and advice. Students can arrange a one-to-one meeting or attend drop-in appointments. The Student Achievement Officer </w:t>
      </w:r>
      <w:proofErr w:type="gramStart"/>
      <w:r w:rsidRPr="005E2E71">
        <w:rPr>
          <w:rFonts w:ascii="Arial" w:hAnsi="Arial" w:cs="Arial"/>
          <w:sz w:val="22"/>
          <w:szCs w:val="22"/>
        </w:rPr>
        <w:t>is able to</w:t>
      </w:r>
      <w:proofErr w:type="gramEnd"/>
      <w:r w:rsidRPr="005E2E71">
        <w:rPr>
          <w:rFonts w:ascii="Arial" w:hAnsi="Arial" w:cs="Arial"/>
          <w:sz w:val="22"/>
          <w:szCs w:val="22"/>
        </w:rPr>
        <w:t xml:space="preserve"> sign-post students to the wide range of services offered by the University. These include finance, accommodation, disability and dyslexia, health and wellbeing, counselling, faith and spirituality, Union of Kingston University Students.</w:t>
      </w:r>
    </w:p>
    <w:p w14:paraId="796300A2" w14:textId="77777777" w:rsidR="003C7CC6" w:rsidRPr="005E2E71" w:rsidRDefault="003C7CC6" w:rsidP="003C7CC6">
      <w:pPr>
        <w:rPr>
          <w:rFonts w:ascii="Arial" w:hAnsi="Arial" w:cs="Arial"/>
          <w:sz w:val="22"/>
          <w:szCs w:val="22"/>
        </w:rPr>
      </w:pPr>
    </w:p>
    <w:p w14:paraId="76B6BCEB" w14:textId="0D7962F1"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 xml:space="preserve">Access to world-class libraries, online learning facilities and other learning support. Library support staff offer academic skills development both within the library </w:t>
      </w:r>
      <w:proofErr w:type="gramStart"/>
      <w:r w:rsidRPr="005E2E71">
        <w:rPr>
          <w:rFonts w:ascii="Arial" w:hAnsi="Arial" w:cs="Arial"/>
          <w:sz w:val="22"/>
          <w:szCs w:val="22"/>
        </w:rPr>
        <w:t>and also</w:t>
      </w:r>
      <w:proofErr w:type="gramEnd"/>
      <w:r w:rsidRPr="005E2E71">
        <w:rPr>
          <w:rFonts w:ascii="Arial" w:hAnsi="Arial" w:cs="Arial"/>
          <w:sz w:val="22"/>
          <w:szCs w:val="22"/>
        </w:rPr>
        <w:t xml:space="preserve"> integrated into course delivery.</w:t>
      </w:r>
    </w:p>
    <w:p w14:paraId="04D57EBD" w14:textId="77777777" w:rsidR="00907BB6" w:rsidRPr="005E2E71" w:rsidRDefault="00907BB6" w:rsidP="00907BB6">
      <w:pPr>
        <w:rPr>
          <w:rFonts w:ascii="Arial" w:hAnsi="Arial" w:cs="Arial"/>
          <w:sz w:val="22"/>
          <w:szCs w:val="22"/>
        </w:rPr>
      </w:pPr>
    </w:p>
    <w:p w14:paraId="5B7A7DE1" w14:textId="65ED151C"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Qualified Disability Advisor who gives guidance on reasonable adjustments and support for the student and advises academic staff.</w:t>
      </w:r>
    </w:p>
    <w:p w14:paraId="534FBE52" w14:textId="77777777" w:rsidR="003C7CC6" w:rsidRPr="005E2E71" w:rsidRDefault="003C7CC6" w:rsidP="003C7CC6">
      <w:pPr>
        <w:ind w:left="360"/>
        <w:rPr>
          <w:rFonts w:ascii="Arial" w:hAnsi="Arial" w:cs="Arial"/>
          <w:sz w:val="22"/>
          <w:szCs w:val="22"/>
        </w:rPr>
      </w:pPr>
    </w:p>
    <w:p w14:paraId="053BF9FB" w14:textId="5B8F5FE1"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Confidential counselling and pastoral support, including mental health support services.</w:t>
      </w:r>
    </w:p>
    <w:p w14:paraId="265E1D6C" w14:textId="77777777" w:rsidR="005E45A5" w:rsidRPr="005E2E71" w:rsidRDefault="005E45A5" w:rsidP="005E45A5">
      <w:pPr>
        <w:rPr>
          <w:rFonts w:ascii="Arial" w:hAnsi="Arial" w:cs="Arial"/>
          <w:sz w:val="22"/>
          <w:szCs w:val="22"/>
        </w:rPr>
      </w:pPr>
    </w:p>
    <w:p w14:paraId="68F1D278" w14:textId="180DED38" w:rsidR="006719D8" w:rsidRPr="005E2E71" w:rsidRDefault="006719D8" w:rsidP="006719D8">
      <w:pPr>
        <w:numPr>
          <w:ilvl w:val="0"/>
          <w:numId w:val="7"/>
        </w:numPr>
        <w:rPr>
          <w:rFonts w:ascii="Arial" w:hAnsi="Arial" w:cs="Arial"/>
          <w:sz w:val="22"/>
          <w:szCs w:val="22"/>
        </w:rPr>
      </w:pPr>
      <w:r w:rsidRPr="005E2E71">
        <w:rPr>
          <w:rFonts w:ascii="Arial" w:hAnsi="Arial" w:cs="Arial"/>
          <w:sz w:val="22"/>
          <w:szCs w:val="22"/>
        </w:rPr>
        <w:t>Comprehensive occupational health services.</w:t>
      </w:r>
      <w:bookmarkEnd w:id="5"/>
    </w:p>
    <w:p w14:paraId="152452ED" w14:textId="77777777" w:rsidR="005E45A5" w:rsidRPr="005E2E71" w:rsidRDefault="005E45A5" w:rsidP="005E45A5">
      <w:pPr>
        <w:pStyle w:val="ListParagraph"/>
        <w:rPr>
          <w:rFonts w:ascii="Arial" w:hAnsi="Arial" w:cs="Arial"/>
        </w:rPr>
      </w:pPr>
    </w:p>
    <w:p w14:paraId="481DA138" w14:textId="77777777" w:rsidR="00A92C9B" w:rsidRPr="005E2E71" w:rsidRDefault="00A92C9B" w:rsidP="005E45A5">
      <w:pPr>
        <w:ind w:left="360"/>
        <w:rPr>
          <w:rFonts w:ascii="Arial" w:hAnsi="Arial" w:cs="Arial"/>
          <w:sz w:val="22"/>
          <w:szCs w:val="22"/>
        </w:rPr>
      </w:pPr>
    </w:p>
    <w:p w14:paraId="33BEC599" w14:textId="77777777" w:rsidR="00A92C9B" w:rsidRPr="005E2E71" w:rsidRDefault="00A92C9B" w:rsidP="00A92C9B">
      <w:pPr>
        <w:numPr>
          <w:ilvl w:val="0"/>
          <w:numId w:val="1"/>
        </w:numPr>
        <w:rPr>
          <w:rFonts w:ascii="Arial" w:hAnsi="Arial" w:cs="Arial"/>
          <w:b/>
          <w:sz w:val="22"/>
          <w:szCs w:val="22"/>
        </w:rPr>
      </w:pPr>
      <w:r w:rsidRPr="005E2E71">
        <w:rPr>
          <w:rFonts w:ascii="Arial" w:hAnsi="Arial" w:cs="Arial"/>
          <w:b/>
          <w:sz w:val="22"/>
          <w:szCs w:val="22"/>
        </w:rPr>
        <w:t>Ensuring and Enhancing the Quality of the Course</w:t>
      </w:r>
    </w:p>
    <w:p w14:paraId="38AF59C5" w14:textId="77777777" w:rsidR="00A92C9B" w:rsidRPr="005E2E71" w:rsidRDefault="00A92C9B" w:rsidP="00A92C9B">
      <w:pPr>
        <w:rPr>
          <w:rFonts w:ascii="Arial" w:hAnsi="Arial" w:cs="Arial"/>
          <w:sz w:val="22"/>
          <w:szCs w:val="22"/>
        </w:rPr>
      </w:pPr>
    </w:p>
    <w:p w14:paraId="215027B4" w14:textId="7A8545BE" w:rsidR="00A92C9B" w:rsidRPr="005E2E71" w:rsidRDefault="00A92C9B" w:rsidP="00C750EF">
      <w:pPr>
        <w:rPr>
          <w:rFonts w:ascii="Arial" w:hAnsi="Arial" w:cs="Arial"/>
          <w:sz w:val="22"/>
          <w:szCs w:val="22"/>
        </w:rPr>
      </w:pPr>
      <w:r w:rsidRPr="005E2E71">
        <w:rPr>
          <w:rFonts w:ascii="Arial" w:hAnsi="Arial" w:cs="Arial"/>
          <w:sz w:val="22"/>
          <w:szCs w:val="22"/>
        </w:rPr>
        <w:t>The University has several methods for evaluating and improving the quality and standards of its provision. These include:</w:t>
      </w:r>
    </w:p>
    <w:p w14:paraId="1B0FF95D" w14:textId="77777777" w:rsidR="00A92C9B" w:rsidRPr="005E2E71" w:rsidRDefault="00A92C9B" w:rsidP="00A92C9B">
      <w:pPr>
        <w:numPr>
          <w:ilvl w:val="0"/>
          <w:numId w:val="2"/>
        </w:numPr>
        <w:rPr>
          <w:rFonts w:ascii="Arial" w:hAnsi="Arial" w:cs="Arial"/>
          <w:sz w:val="22"/>
          <w:szCs w:val="22"/>
        </w:rPr>
      </w:pPr>
      <w:r w:rsidRPr="005E2E71">
        <w:rPr>
          <w:rFonts w:ascii="Arial" w:hAnsi="Arial" w:cs="Arial"/>
          <w:sz w:val="22"/>
          <w:szCs w:val="22"/>
        </w:rPr>
        <w:t>External examiners</w:t>
      </w:r>
    </w:p>
    <w:p w14:paraId="4EDE1783" w14:textId="77777777" w:rsidR="00A92C9B" w:rsidRPr="005E2E71" w:rsidRDefault="00A92C9B" w:rsidP="00A92C9B">
      <w:pPr>
        <w:numPr>
          <w:ilvl w:val="0"/>
          <w:numId w:val="2"/>
        </w:numPr>
        <w:rPr>
          <w:rFonts w:ascii="Arial" w:hAnsi="Arial" w:cs="Arial"/>
          <w:sz w:val="22"/>
          <w:szCs w:val="22"/>
        </w:rPr>
      </w:pPr>
      <w:r w:rsidRPr="005E2E71">
        <w:rPr>
          <w:rFonts w:ascii="Arial" w:hAnsi="Arial" w:cs="Arial"/>
          <w:sz w:val="22"/>
          <w:szCs w:val="22"/>
        </w:rPr>
        <w:t>Boards of study with student representation</w:t>
      </w:r>
    </w:p>
    <w:p w14:paraId="3AF6985D" w14:textId="21828C53" w:rsidR="003F6436" w:rsidRPr="005E2E71" w:rsidRDefault="003F6436" w:rsidP="003F6436">
      <w:pPr>
        <w:numPr>
          <w:ilvl w:val="0"/>
          <w:numId w:val="2"/>
        </w:numPr>
        <w:rPr>
          <w:rFonts w:ascii="Arial" w:hAnsi="Arial" w:cs="Arial"/>
          <w:sz w:val="22"/>
          <w:szCs w:val="22"/>
        </w:rPr>
      </w:pPr>
      <w:r w:rsidRPr="005E2E71">
        <w:rPr>
          <w:rFonts w:ascii="Arial" w:hAnsi="Arial" w:cs="Arial"/>
          <w:sz w:val="22"/>
          <w:szCs w:val="22"/>
        </w:rPr>
        <w:t xml:space="preserve">Student </w:t>
      </w:r>
      <w:r w:rsidR="00EF2880">
        <w:rPr>
          <w:rFonts w:ascii="Arial" w:hAnsi="Arial" w:cs="Arial"/>
          <w:sz w:val="22"/>
          <w:szCs w:val="22"/>
        </w:rPr>
        <w:t>Voice</w:t>
      </w:r>
      <w:r w:rsidRPr="005E2E71">
        <w:rPr>
          <w:rFonts w:ascii="Arial" w:hAnsi="Arial" w:cs="Arial"/>
          <w:sz w:val="22"/>
          <w:szCs w:val="22"/>
        </w:rPr>
        <w:t xml:space="preserve"> Committees</w:t>
      </w:r>
    </w:p>
    <w:p w14:paraId="3938D54E" w14:textId="780D8D67" w:rsidR="00A92C9B" w:rsidRPr="005E2E71" w:rsidRDefault="00A92C9B" w:rsidP="00A92C9B">
      <w:pPr>
        <w:numPr>
          <w:ilvl w:val="0"/>
          <w:numId w:val="2"/>
        </w:numPr>
        <w:rPr>
          <w:rFonts w:ascii="Arial" w:hAnsi="Arial" w:cs="Arial"/>
          <w:sz w:val="22"/>
          <w:szCs w:val="22"/>
        </w:rPr>
      </w:pPr>
      <w:r w:rsidRPr="005E2E71">
        <w:rPr>
          <w:rFonts w:ascii="Arial" w:hAnsi="Arial" w:cs="Arial"/>
          <w:sz w:val="22"/>
          <w:szCs w:val="22"/>
        </w:rPr>
        <w:lastRenderedPageBreak/>
        <w:t>Annual Monitoring and Enhancement</w:t>
      </w:r>
    </w:p>
    <w:p w14:paraId="545BED92" w14:textId="77777777" w:rsidR="00A92C9B" w:rsidRPr="005E2E71" w:rsidRDefault="00A92C9B" w:rsidP="00A92C9B">
      <w:pPr>
        <w:numPr>
          <w:ilvl w:val="0"/>
          <w:numId w:val="2"/>
        </w:numPr>
        <w:rPr>
          <w:rFonts w:ascii="Arial" w:hAnsi="Arial" w:cs="Arial"/>
          <w:sz w:val="22"/>
          <w:szCs w:val="22"/>
        </w:rPr>
      </w:pPr>
      <w:r w:rsidRPr="005E2E71">
        <w:rPr>
          <w:rFonts w:ascii="Arial" w:hAnsi="Arial" w:cs="Arial"/>
          <w:sz w:val="22"/>
          <w:szCs w:val="22"/>
        </w:rPr>
        <w:t>Periodic review undertaken at subject level</w:t>
      </w:r>
    </w:p>
    <w:p w14:paraId="65B5EAE1" w14:textId="332EE3F4" w:rsidR="00A92C9B" w:rsidRPr="005E2E71" w:rsidRDefault="00A92C9B" w:rsidP="00A92C9B">
      <w:pPr>
        <w:numPr>
          <w:ilvl w:val="0"/>
          <w:numId w:val="2"/>
        </w:numPr>
        <w:rPr>
          <w:rFonts w:ascii="Arial" w:hAnsi="Arial" w:cs="Arial"/>
          <w:sz w:val="22"/>
          <w:szCs w:val="22"/>
        </w:rPr>
      </w:pPr>
      <w:r w:rsidRPr="005E2E71">
        <w:rPr>
          <w:rFonts w:ascii="Arial" w:hAnsi="Arial" w:cs="Arial"/>
          <w:sz w:val="22"/>
          <w:szCs w:val="22"/>
        </w:rPr>
        <w:t>Student evaluation including M</w:t>
      </w:r>
      <w:r w:rsidR="006E1AAE" w:rsidRPr="005E2E71">
        <w:rPr>
          <w:rFonts w:ascii="Arial" w:hAnsi="Arial" w:cs="Arial"/>
          <w:sz w:val="22"/>
          <w:szCs w:val="22"/>
        </w:rPr>
        <w:t>odule Evaluation Questionnaire (M</w:t>
      </w:r>
      <w:r w:rsidRPr="005E2E71">
        <w:rPr>
          <w:rFonts w:ascii="Arial" w:hAnsi="Arial" w:cs="Arial"/>
          <w:sz w:val="22"/>
          <w:szCs w:val="22"/>
        </w:rPr>
        <w:t>EQs</w:t>
      </w:r>
      <w:r w:rsidR="006E1AAE" w:rsidRPr="005E2E71">
        <w:rPr>
          <w:rFonts w:ascii="Arial" w:hAnsi="Arial" w:cs="Arial"/>
          <w:sz w:val="22"/>
          <w:szCs w:val="22"/>
        </w:rPr>
        <w:t>)</w:t>
      </w:r>
    </w:p>
    <w:p w14:paraId="0F00A8B6" w14:textId="77777777" w:rsidR="00A92C9B" w:rsidRPr="005E2E71" w:rsidRDefault="00A92C9B" w:rsidP="00A92C9B">
      <w:pPr>
        <w:numPr>
          <w:ilvl w:val="0"/>
          <w:numId w:val="2"/>
        </w:numPr>
        <w:rPr>
          <w:rFonts w:ascii="Arial" w:hAnsi="Arial" w:cs="Arial"/>
          <w:sz w:val="22"/>
          <w:szCs w:val="22"/>
        </w:rPr>
      </w:pPr>
      <w:r w:rsidRPr="005E2E71">
        <w:rPr>
          <w:rFonts w:ascii="Arial" w:hAnsi="Arial" w:cs="Arial"/>
          <w:sz w:val="22"/>
          <w:szCs w:val="22"/>
        </w:rPr>
        <w:t>Moderation</w:t>
      </w:r>
      <w:r w:rsidRPr="005E2E71">
        <w:rPr>
          <w:rFonts w:ascii="Arial" w:hAnsi="Arial" w:cs="Arial"/>
          <w:sz w:val="22"/>
          <w:szCs w:val="22"/>
        </w:rPr>
        <w:fldChar w:fldCharType="begin"/>
      </w:r>
      <w:r w:rsidRPr="005E2E71">
        <w:rPr>
          <w:rFonts w:ascii="Arial" w:hAnsi="Arial" w:cs="Arial"/>
          <w:sz w:val="22"/>
          <w:szCs w:val="22"/>
        </w:rPr>
        <w:instrText xml:space="preserve"> XE "</w:instrText>
      </w:r>
      <w:r w:rsidRPr="005E2E71">
        <w:rPr>
          <w:rFonts w:ascii="Arial" w:hAnsi="Arial" w:cs="Arial"/>
          <w:b/>
          <w:noProof/>
          <w:sz w:val="22"/>
          <w:szCs w:val="22"/>
        </w:rPr>
        <w:instrText>Moderation</w:instrText>
      </w:r>
      <w:r w:rsidRPr="005E2E71">
        <w:rPr>
          <w:rFonts w:ascii="Arial" w:hAnsi="Arial" w:cs="Arial"/>
          <w:sz w:val="22"/>
          <w:szCs w:val="22"/>
        </w:rPr>
        <w:instrText xml:space="preserve">" </w:instrText>
      </w:r>
      <w:r w:rsidRPr="005E2E71">
        <w:rPr>
          <w:rFonts w:ascii="Arial" w:hAnsi="Arial" w:cs="Arial"/>
          <w:sz w:val="22"/>
          <w:szCs w:val="22"/>
        </w:rPr>
        <w:fldChar w:fldCharType="end"/>
      </w:r>
      <w:r w:rsidRPr="005E2E71">
        <w:rPr>
          <w:rFonts w:ascii="Arial" w:hAnsi="Arial" w:cs="Arial"/>
          <w:sz w:val="22"/>
          <w:szCs w:val="22"/>
        </w:rPr>
        <w:t xml:space="preserve"> policies</w:t>
      </w:r>
    </w:p>
    <w:p w14:paraId="275501F8" w14:textId="46131910" w:rsidR="00A92C9B" w:rsidRPr="005E2E71" w:rsidRDefault="00A92C9B" w:rsidP="00A92C9B">
      <w:pPr>
        <w:numPr>
          <w:ilvl w:val="0"/>
          <w:numId w:val="2"/>
        </w:numPr>
        <w:rPr>
          <w:rFonts w:ascii="Arial" w:hAnsi="Arial" w:cs="Arial"/>
          <w:sz w:val="22"/>
          <w:szCs w:val="22"/>
        </w:rPr>
      </w:pPr>
      <w:r w:rsidRPr="005E2E71">
        <w:rPr>
          <w:rFonts w:ascii="Arial" w:hAnsi="Arial" w:cs="Arial"/>
          <w:sz w:val="22"/>
          <w:szCs w:val="22"/>
        </w:rPr>
        <w:t>Feedback from employers</w:t>
      </w:r>
      <w:r w:rsidR="00BB36D9" w:rsidRPr="005E2E71">
        <w:rPr>
          <w:rFonts w:ascii="Arial" w:hAnsi="Arial" w:cs="Arial"/>
          <w:sz w:val="22"/>
          <w:szCs w:val="22"/>
        </w:rPr>
        <w:t xml:space="preserve"> during an annual consultation with stakeholders</w:t>
      </w:r>
    </w:p>
    <w:p w14:paraId="498816AC" w14:textId="13B7C31A" w:rsidR="00A92C9B" w:rsidRPr="005E2E71" w:rsidRDefault="00BB36D9" w:rsidP="00A92C9B">
      <w:pPr>
        <w:numPr>
          <w:ilvl w:val="0"/>
          <w:numId w:val="2"/>
        </w:numPr>
        <w:rPr>
          <w:rFonts w:ascii="Arial" w:hAnsi="Arial" w:cs="Arial"/>
          <w:sz w:val="22"/>
          <w:szCs w:val="22"/>
        </w:rPr>
      </w:pPr>
      <w:r w:rsidRPr="005E2E71">
        <w:rPr>
          <w:rFonts w:ascii="Arial" w:hAnsi="Arial" w:cs="Arial"/>
          <w:sz w:val="22"/>
          <w:szCs w:val="22"/>
        </w:rPr>
        <w:t>NMC annual review of nursing and midwifery approved programmes</w:t>
      </w:r>
    </w:p>
    <w:p w14:paraId="04DA9497" w14:textId="77777777" w:rsidR="00A92C9B" w:rsidRPr="005E2E71" w:rsidRDefault="00A92C9B" w:rsidP="00A92C9B">
      <w:pPr>
        <w:rPr>
          <w:rFonts w:ascii="Arial" w:hAnsi="Arial" w:cs="Arial"/>
          <w:sz w:val="22"/>
          <w:szCs w:val="22"/>
        </w:rPr>
      </w:pPr>
    </w:p>
    <w:p w14:paraId="50830FA4" w14:textId="77777777" w:rsidR="00A92C9B" w:rsidRPr="005E2E71" w:rsidRDefault="00A92C9B" w:rsidP="00A92C9B">
      <w:pPr>
        <w:numPr>
          <w:ilvl w:val="0"/>
          <w:numId w:val="1"/>
        </w:numPr>
        <w:rPr>
          <w:rFonts w:ascii="Arial" w:hAnsi="Arial" w:cs="Arial"/>
          <w:b/>
          <w:sz w:val="22"/>
          <w:szCs w:val="22"/>
        </w:rPr>
      </w:pPr>
      <w:r w:rsidRPr="005E2E71">
        <w:rPr>
          <w:rFonts w:ascii="Arial" w:hAnsi="Arial" w:cs="Arial"/>
          <w:b/>
          <w:sz w:val="22"/>
          <w:szCs w:val="22"/>
        </w:rPr>
        <w:t xml:space="preserve">Employability and work-based learning </w:t>
      </w:r>
    </w:p>
    <w:p w14:paraId="4EFBD58D" w14:textId="77777777" w:rsidR="00A92C9B" w:rsidRPr="005E2E71" w:rsidRDefault="00A92C9B" w:rsidP="00A92C9B">
      <w:pPr>
        <w:rPr>
          <w:rFonts w:ascii="Arial" w:hAnsi="Arial" w:cs="Arial"/>
          <w:i/>
          <w:color w:val="FF0000"/>
          <w:sz w:val="22"/>
          <w:szCs w:val="22"/>
        </w:rPr>
      </w:pPr>
    </w:p>
    <w:p w14:paraId="2A2A555C" w14:textId="412902D4" w:rsidR="00F73099" w:rsidRPr="005E2E71" w:rsidRDefault="00F73099" w:rsidP="00F73099">
      <w:pPr>
        <w:rPr>
          <w:rFonts w:ascii="Arial" w:hAnsi="Arial" w:cs="Arial"/>
          <w:iCs/>
          <w:sz w:val="22"/>
          <w:szCs w:val="22"/>
        </w:rPr>
      </w:pPr>
      <w:r w:rsidRPr="005E2E71">
        <w:rPr>
          <w:rFonts w:ascii="Arial" w:hAnsi="Arial" w:cs="Arial"/>
          <w:iCs/>
          <w:sz w:val="22"/>
          <w:szCs w:val="22"/>
        </w:rPr>
        <w:t>As a vocational programme which results in</w:t>
      </w:r>
      <w:r w:rsidR="00861AAE" w:rsidRPr="005E2E71">
        <w:rPr>
          <w:rFonts w:ascii="Arial" w:hAnsi="Arial" w:cs="Arial"/>
          <w:iCs/>
          <w:sz w:val="22"/>
          <w:szCs w:val="22"/>
        </w:rPr>
        <w:t xml:space="preserve"> NMC registration as a nurse or midwife</w:t>
      </w:r>
      <w:r w:rsidR="00FD143F" w:rsidRPr="005E2E71">
        <w:rPr>
          <w:rFonts w:ascii="Arial" w:hAnsi="Arial" w:cs="Arial"/>
          <w:iCs/>
          <w:sz w:val="22"/>
          <w:szCs w:val="22"/>
        </w:rPr>
        <w:t xml:space="preserve"> independent/</w:t>
      </w:r>
      <w:r w:rsidR="00861AAE" w:rsidRPr="005E2E71">
        <w:rPr>
          <w:rFonts w:ascii="Arial" w:hAnsi="Arial" w:cs="Arial"/>
          <w:iCs/>
          <w:sz w:val="22"/>
          <w:szCs w:val="22"/>
        </w:rPr>
        <w:t xml:space="preserve"> supplementary prescriber (V300), the course is highly orientated towards career development</w:t>
      </w:r>
      <w:r w:rsidRPr="005E2E71">
        <w:rPr>
          <w:rFonts w:ascii="Arial" w:hAnsi="Arial" w:cs="Arial"/>
          <w:iCs/>
          <w:sz w:val="22"/>
          <w:szCs w:val="22"/>
        </w:rPr>
        <w:t xml:space="preserve">. Employability is embedded </w:t>
      </w:r>
      <w:r w:rsidR="00861AAE" w:rsidRPr="005E2E71">
        <w:rPr>
          <w:rFonts w:ascii="Arial" w:hAnsi="Arial" w:cs="Arial"/>
          <w:iCs/>
          <w:sz w:val="22"/>
          <w:szCs w:val="22"/>
        </w:rPr>
        <w:t xml:space="preserve">throughout </w:t>
      </w:r>
      <w:r w:rsidR="000159FD" w:rsidRPr="005E2E71">
        <w:rPr>
          <w:rFonts w:ascii="Arial" w:hAnsi="Arial" w:cs="Arial"/>
          <w:iCs/>
          <w:sz w:val="22"/>
          <w:szCs w:val="22"/>
        </w:rPr>
        <w:t>the programme,</w:t>
      </w:r>
      <w:r w:rsidRPr="005E2E71">
        <w:rPr>
          <w:rFonts w:ascii="Arial" w:hAnsi="Arial" w:cs="Arial"/>
          <w:iCs/>
          <w:sz w:val="22"/>
          <w:szCs w:val="22"/>
        </w:rPr>
        <w:t xml:space="preserve"> in all of </w:t>
      </w:r>
      <w:proofErr w:type="gramStart"/>
      <w:r w:rsidRPr="005E2E71">
        <w:rPr>
          <w:rFonts w:ascii="Arial" w:hAnsi="Arial" w:cs="Arial"/>
          <w:iCs/>
          <w:sz w:val="22"/>
          <w:szCs w:val="22"/>
        </w:rPr>
        <w:t>the  skills</w:t>
      </w:r>
      <w:proofErr w:type="gramEnd"/>
      <w:r w:rsidRPr="005E2E71">
        <w:rPr>
          <w:rFonts w:ascii="Arial" w:hAnsi="Arial" w:cs="Arial"/>
          <w:iCs/>
          <w:sz w:val="22"/>
          <w:szCs w:val="22"/>
        </w:rPr>
        <w:t xml:space="preserve"> sessions</w:t>
      </w:r>
      <w:r w:rsidR="000159FD" w:rsidRPr="005E2E71">
        <w:rPr>
          <w:rFonts w:ascii="Arial" w:hAnsi="Arial" w:cs="Arial"/>
          <w:iCs/>
          <w:sz w:val="22"/>
          <w:szCs w:val="22"/>
        </w:rPr>
        <w:t>, scenarios</w:t>
      </w:r>
      <w:r w:rsidR="00287A50" w:rsidRPr="005E2E71">
        <w:rPr>
          <w:rFonts w:ascii="Arial" w:hAnsi="Arial" w:cs="Arial"/>
          <w:iCs/>
          <w:sz w:val="22"/>
          <w:szCs w:val="22"/>
        </w:rPr>
        <w:t>,</w:t>
      </w:r>
      <w:r w:rsidR="000159FD" w:rsidRPr="005E2E71">
        <w:rPr>
          <w:rFonts w:ascii="Arial" w:hAnsi="Arial" w:cs="Arial"/>
          <w:iCs/>
          <w:sz w:val="22"/>
          <w:szCs w:val="22"/>
        </w:rPr>
        <w:t xml:space="preserve"> simulation</w:t>
      </w:r>
      <w:r w:rsidR="00287A50" w:rsidRPr="005E2E71">
        <w:rPr>
          <w:rFonts w:ascii="Arial" w:hAnsi="Arial" w:cs="Arial"/>
          <w:iCs/>
          <w:sz w:val="22"/>
          <w:szCs w:val="22"/>
        </w:rPr>
        <w:t>s and assessments,</w:t>
      </w:r>
      <w:r w:rsidR="000159FD" w:rsidRPr="005E2E71">
        <w:rPr>
          <w:rFonts w:ascii="Arial" w:hAnsi="Arial" w:cs="Arial"/>
          <w:iCs/>
          <w:sz w:val="22"/>
          <w:szCs w:val="22"/>
        </w:rPr>
        <w:t xml:space="preserve"> </w:t>
      </w:r>
      <w:r w:rsidR="00FD143F" w:rsidRPr="005E2E71">
        <w:rPr>
          <w:rFonts w:ascii="Arial" w:hAnsi="Arial" w:cs="Arial"/>
          <w:iCs/>
          <w:sz w:val="22"/>
          <w:szCs w:val="22"/>
        </w:rPr>
        <w:t>reflecting</w:t>
      </w:r>
      <w:r w:rsidR="000159FD" w:rsidRPr="005E2E71">
        <w:rPr>
          <w:rFonts w:ascii="Arial" w:hAnsi="Arial" w:cs="Arial"/>
          <w:iCs/>
          <w:sz w:val="22"/>
          <w:szCs w:val="22"/>
        </w:rPr>
        <w:t xml:space="preserve"> the RPS (2021) competencies for all prescribers. </w:t>
      </w:r>
      <w:r w:rsidR="008D1F34" w:rsidRPr="005E2E71">
        <w:rPr>
          <w:rFonts w:ascii="Arial" w:hAnsi="Arial" w:cs="Arial"/>
          <w:iCs/>
          <w:sz w:val="22"/>
          <w:szCs w:val="22"/>
        </w:rPr>
        <w:t xml:space="preserve">There are also opportunities both within placement learning and university-based learning to meet with past students and </w:t>
      </w:r>
      <w:r w:rsidR="00483143" w:rsidRPr="005E2E71">
        <w:rPr>
          <w:rFonts w:ascii="Arial" w:hAnsi="Arial" w:cs="Arial"/>
          <w:iCs/>
          <w:sz w:val="22"/>
          <w:szCs w:val="22"/>
        </w:rPr>
        <w:t>guest speakers from a range of specialities. T</w:t>
      </w:r>
      <w:r w:rsidR="008D1F34" w:rsidRPr="005E2E71">
        <w:rPr>
          <w:rFonts w:ascii="Arial" w:hAnsi="Arial" w:cs="Arial"/>
          <w:iCs/>
          <w:sz w:val="22"/>
          <w:szCs w:val="22"/>
        </w:rPr>
        <w:t xml:space="preserve">he options for further study at level 7 to ‘top up’ to an MSc in Healthcare Practice or Advanced Clinical Practice are </w:t>
      </w:r>
      <w:r w:rsidR="00483143" w:rsidRPr="005E2E71">
        <w:rPr>
          <w:rFonts w:ascii="Arial" w:hAnsi="Arial" w:cs="Arial"/>
          <w:iCs/>
          <w:sz w:val="22"/>
          <w:szCs w:val="22"/>
        </w:rPr>
        <w:t>explored</w:t>
      </w:r>
      <w:r w:rsidR="008D1F34" w:rsidRPr="005E2E71">
        <w:rPr>
          <w:rFonts w:ascii="Arial" w:hAnsi="Arial" w:cs="Arial"/>
          <w:iCs/>
          <w:sz w:val="22"/>
          <w:szCs w:val="22"/>
        </w:rPr>
        <w:t xml:space="preserve"> at the start of each m</w:t>
      </w:r>
      <w:r w:rsidR="00483143" w:rsidRPr="005E2E71">
        <w:rPr>
          <w:rFonts w:ascii="Arial" w:hAnsi="Arial" w:cs="Arial"/>
          <w:iCs/>
          <w:sz w:val="22"/>
          <w:szCs w:val="22"/>
        </w:rPr>
        <w:t xml:space="preserve">odule and further advice is available through the relevant </w:t>
      </w:r>
      <w:r w:rsidR="00856462" w:rsidRPr="005E2E71">
        <w:rPr>
          <w:rFonts w:ascii="Arial" w:hAnsi="Arial" w:cs="Arial"/>
          <w:iCs/>
          <w:sz w:val="22"/>
          <w:szCs w:val="22"/>
        </w:rPr>
        <w:t>Module</w:t>
      </w:r>
      <w:r w:rsidR="00483143" w:rsidRPr="005E2E71">
        <w:rPr>
          <w:rFonts w:ascii="Arial" w:hAnsi="Arial" w:cs="Arial"/>
          <w:iCs/>
          <w:sz w:val="22"/>
          <w:szCs w:val="22"/>
        </w:rPr>
        <w:t xml:space="preserve"> Leaders. </w:t>
      </w:r>
      <w:r w:rsidRPr="005E2E71">
        <w:rPr>
          <w:rFonts w:ascii="Arial" w:hAnsi="Arial" w:cs="Arial"/>
          <w:iCs/>
          <w:sz w:val="22"/>
          <w:szCs w:val="22"/>
        </w:rPr>
        <w:t xml:space="preserve"> </w:t>
      </w:r>
    </w:p>
    <w:p w14:paraId="670B5533" w14:textId="44617E1C" w:rsidR="00A92C9B" w:rsidRPr="005E2E71" w:rsidRDefault="00A92C9B" w:rsidP="00A92C9B">
      <w:pPr>
        <w:rPr>
          <w:rFonts w:ascii="Arial" w:hAnsi="Arial" w:cs="Arial"/>
          <w:sz w:val="22"/>
          <w:szCs w:val="22"/>
        </w:rPr>
      </w:pPr>
    </w:p>
    <w:p w14:paraId="38D077B8" w14:textId="77777777" w:rsidR="00A92C9B" w:rsidRPr="005E2E71" w:rsidRDefault="00A92C9B" w:rsidP="00A92C9B">
      <w:pPr>
        <w:numPr>
          <w:ilvl w:val="0"/>
          <w:numId w:val="1"/>
        </w:numPr>
        <w:rPr>
          <w:rFonts w:ascii="Arial" w:hAnsi="Arial" w:cs="Arial"/>
          <w:b/>
          <w:sz w:val="22"/>
          <w:szCs w:val="22"/>
        </w:rPr>
      </w:pPr>
      <w:r w:rsidRPr="005E2E71">
        <w:rPr>
          <w:rFonts w:ascii="Arial" w:hAnsi="Arial" w:cs="Arial"/>
          <w:b/>
          <w:sz w:val="22"/>
          <w:szCs w:val="22"/>
        </w:rPr>
        <w:t>Other sources of information that you may wish to consult</w:t>
      </w:r>
    </w:p>
    <w:p w14:paraId="332FEB76" w14:textId="77777777" w:rsidR="00FD15AB" w:rsidRPr="005E2E71" w:rsidRDefault="00FD15AB" w:rsidP="00FD15AB">
      <w:pPr>
        <w:rPr>
          <w:rFonts w:ascii="Arial" w:hAnsi="Arial" w:cs="Arial"/>
          <w:b/>
          <w:bCs/>
        </w:rPr>
      </w:pPr>
    </w:p>
    <w:p w14:paraId="7BE96B3D" w14:textId="4FD69A3A" w:rsidR="000B3320" w:rsidRPr="005E2E71" w:rsidRDefault="000B3320" w:rsidP="00FD15AB">
      <w:pPr>
        <w:rPr>
          <w:rFonts w:ascii="Arial" w:hAnsi="Arial" w:cs="Arial"/>
          <w:sz w:val="22"/>
          <w:szCs w:val="22"/>
        </w:rPr>
      </w:pPr>
      <w:r w:rsidRPr="005E2E71">
        <w:rPr>
          <w:rFonts w:ascii="Arial" w:hAnsi="Arial" w:cs="Arial"/>
          <w:sz w:val="22"/>
          <w:szCs w:val="22"/>
        </w:rPr>
        <w:t xml:space="preserve">Garrison, D. R; Anderson, T; Archer, W. (2000) ‘Critical Inquiry in a Text-Based Environment: Computer Conferencing in Higher Education’. </w:t>
      </w:r>
      <w:r w:rsidRPr="005E2E71">
        <w:rPr>
          <w:rFonts w:ascii="Arial" w:hAnsi="Arial" w:cs="Arial"/>
          <w:i/>
          <w:iCs/>
          <w:sz w:val="22"/>
          <w:szCs w:val="22"/>
        </w:rPr>
        <w:t xml:space="preserve">The Internet and Higher Education, </w:t>
      </w:r>
      <w:r w:rsidRPr="005E2E71">
        <w:rPr>
          <w:rFonts w:ascii="Arial" w:hAnsi="Arial" w:cs="Arial"/>
          <w:sz w:val="22"/>
          <w:szCs w:val="22"/>
        </w:rPr>
        <w:t>2, pp 87-105</w:t>
      </w:r>
    </w:p>
    <w:p w14:paraId="76E78DFD" w14:textId="2C3F2AD5" w:rsidR="00BB42A8" w:rsidRPr="005E2E71" w:rsidRDefault="00BB42A8" w:rsidP="00FD15AB">
      <w:pPr>
        <w:rPr>
          <w:rFonts w:ascii="Arial" w:hAnsi="Arial" w:cs="Arial"/>
          <w:sz w:val="22"/>
          <w:szCs w:val="22"/>
        </w:rPr>
      </w:pPr>
    </w:p>
    <w:p w14:paraId="1AB55CF5" w14:textId="23969960" w:rsidR="00BB42A8" w:rsidRPr="005E2E71" w:rsidRDefault="00BB42A8" w:rsidP="00BB42A8">
      <w:pPr>
        <w:rPr>
          <w:rFonts w:ascii="Arial" w:hAnsi="Arial" w:cs="Arial"/>
          <w:sz w:val="22"/>
          <w:szCs w:val="22"/>
        </w:rPr>
      </w:pPr>
      <w:r w:rsidRPr="005E2E71">
        <w:rPr>
          <w:rFonts w:ascii="Arial" w:hAnsi="Arial" w:cs="Arial"/>
          <w:sz w:val="22"/>
          <w:szCs w:val="22"/>
        </w:rPr>
        <w:t xml:space="preserve">Nursing and Midwifery Council (2018a) </w:t>
      </w:r>
      <w:r w:rsidRPr="005E2E71">
        <w:rPr>
          <w:rFonts w:ascii="Arial" w:hAnsi="Arial" w:cs="Arial"/>
          <w:i/>
          <w:iCs/>
          <w:sz w:val="22"/>
          <w:szCs w:val="22"/>
        </w:rPr>
        <w:t>Standards for Supervision and assessment</w:t>
      </w:r>
      <w:r w:rsidRPr="005E2E71">
        <w:rPr>
          <w:rFonts w:ascii="Arial" w:hAnsi="Arial" w:cs="Arial"/>
          <w:sz w:val="22"/>
          <w:szCs w:val="22"/>
        </w:rPr>
        <w:t xml:space="preserve">. Available at: </w:t>
      </w:r>
      <w:hyperlink r:id="rId17" w:history="1">
        <w:r w:rsidRPr="005E2E71">
          <w:rPr>
            <w:rStyle w:val="Hyperlink"/>
            <w:rFonts w:ascii="Arial" w:hAnsi="Arial" w:cs="Arial"/>
            <w:sz w:val="22"/>
            <w:szCs w:val="22"/>
          </w:rPr>
          <w:t>https://www.nmc.org.uk/globalassets/sitedocuments/education-standards/student-supervision-assessment.pdf</w:t>
        </w:r>
      </w:hyperlink>
      <w:r w:rsidRPr="005E2E71">
        <w:rPr>
          <w:rFonts w:ascii="Arial" w:hAnsi="Arial" w:cs="Arial"/>
          <w:sz w:val="22"/>
          <w:szCs w:val="22"/>
        </w:rPr>
        <w:t xml:space="preserve"> </w:t>
      </w:r>
      <w:r w:rsidR="00856462" w:rsidRPr="005E2E71">
        <w:rPr>
          <w:rFonts w:ascii="Arial" w:hAnsi="Arial" w:cs="Arial"/>
          <w:sz w:val="22"/>
          <w:szCs w:val="22"/>
        </w:rPr>
        <w:t>(Accessed: 06/12/21)</w:t>
      </w:r>
    </w:p>
    <w:p w14:paraId="0E5AF40A" w14:textId="77777777" w:rsidR="00BB42A8" w:rsidRPr="005E2E71" w:rsidRDefault="00BB42A8" w:rsidP="00FD15AB">
      <w:pPr>
        <w:rPr>
          <w:rFonts w:ascii="Arial" w:hAnsi="Arial" w:cs="Arial"/>
          <w:sz w:val="22"/>
          <w:szCs w:val="22"/>
        </w:rPr>
      </w:pPr>
    </w:p>
    <w:p w14:paraId="2C4974FC" w14:textId="77777777" w:rsidR="000B3320" w:rsidRPr="005E2E71" w:rsidRDefault="000B3320" w:rsidP="00FD15AB">
      <w:pPr>
        <w:rPr>
          <w:rFonts w:ascii="Arial" w:hAnsi="Arial" w:cs="Arial"/>
          <w:sz w:val="22"/>
          <w:szCs w:val="22"/>
        </w:rPr>
      </w:pPr>
    </w:p>
    <w:p w14:paraId="60DEDB55" w14:textId="13F23440" w:rsidR="00FD15AB" w:rsidRPr="005E2E71" w:rsidRDefault="00FD15AB" w:rsidP="00FD15AB">
      <w:pPr>
        <w:rPr>
          <w:rFonts w:ascii="Arial" w:hAnsi="Arial" w:cs="Arial"/>
          <w:sz w:val="22"/>
          <w:szCs w:val="22"/>
        </w:rPr>
      </w:pPr>
      <w:r w:rsidRPr="005E2E71">
        <w:rPr>
          <w:rFonts w:ascii="Arial" w:hAnsi="Arial" w:cs="Arial"/>
          <w:sz w:val="22"/>
          <w:szCs w:val="22"/>
        </w:rPr>
        <w:t>Nursing and Midwifery Council (2018</w:t>
      </w:r>
      <w:r w:rsidR="00BB42A8" w:rsidRPr="005E2E71">
        <w:rPr>
          <w:rFonts w:ascii="Arial" w:hAnsi="Arial" w:cs="Arial"/>
          <w:sz w:val="22"/>
          <w:szCs w:val="22"/>
        </w:rPr>
        <w:t>b</w:t>
      </w:r>
      <w:r w:rsidRPr="005E2E71">
        <w:rPr>
          <w:rFonts w:ascii="Arial" w:hAnsi="Arial" w:cs="Arial"/>
          <w:sz w:val="22"/>
          <w:szCs w:val="22"/>
        </w:rPr>
        <w:t xml:space="preserve">) </w:t>
      </w:r>
      <w:r w:rsidRPr="005E2E71">
        <w:rPr>
          <w:rFonts w:ascii="Arial" w:hAnsi="Arial" w:cs="Arial"/>
          <w:i/>
          <w:iCs/>
          <w:sz w:val="22"/>
          <w:szCs w:val="22"/>
        </w:rPr>
        <w:t xml:space="preserve">Programme standards: Standards for prescribing programmes </w:t>
      </w:r>
      <w:r w:rsidRPr="005E2E71">
        <w:rPr>
          <w:rFonts w:ascii="Arial" w:hAnsi="Arial" w:cs="Arial"/>
          <w:sz w:val="22"/>
          <w:szCs w:val="22"/>
        </w:rPr>
        <w:t xml:space="preserve">Available at: </w:t>
      </w:r>
      <w:hyperlink r:id="rId18" w:history="1">
        <w:r w:rsidRPr="005E2E71">
          <w:rPr>
            <w:rStyle w:val="Hyperlink"/>
            <w:rFonts w:ascii="Arial" w:hAnsi="Arial" w:cs="Arial"/>
            <w:sz w:val="22"/>
            <w:szCs w:val="22"/>
          </w:rPr>
          <w:t>https://www.nmc.org.uk/globalassets/sitedocuments/education-standards/programme-standards-prescribing.pdf</w:t>
        </w:r>
      </w:hyperlink>
      <w:r w:rsidRPr="005E2E71">
        <w:rPr>
          <w:rFonts w:ascii="Arial" w:hAnsi="Arial" w:cs="Arial"/>
          <w:sz w:val="22"/>
          <w:szCs w:val="22"/>
        </w:rPr>
        <w:t xml:space="preserve"> (Accessed: </w:t>
      </w:r>
      <w:r w:rsidR="00856462" w:rsidRPr="005E2E71">
        <w:rPr>
          <w:rFonts w:ascii="Arial" w:hAnsi="Arial" w:cs="Arial"/>
          <w:sz w:val="22"/>
          <w:szCs w:val="22"/>
        </w:rPr>
        <w:t>06</w:t>
      </w:r>
      <w:r w:rsidRPr="005E2E71">
        <w:rPr>
          <w:rFonts w:ascii="Arial" w:hAnsi="Arial" w:cs="Arial"/>
          <w:sz w:val="22"/>
          <w:szCs w:val="22"/>
        </w:rPr>
        <w:t>/12/</w:t>
      </w:r>
      <w:r w:rsidR="00856462" w:rsidRPr="005E2E71">
        <w:rPr>
          <w:rFonts w:ascii="Arial" w:hAnsi="Arial" w:cs="Arial"/>
          <w:sz w:val="22"/>
          <w:szCs w:val="22"/>
        </w:rPr>
        <w:t>21</w:t>
      </w:r>
      <w:r w:rsidRPr="005E2E71">
        <w:rPr>
          <w:rFonts w:ascii="Arial" w:hAnsi="Arial" w:cs="Arial"/>
          <w:sz w:val="22"/>
          <w:szCs w:val="22"/>
        </w:rPr>
        <w:t>)</w:t>
      </w:r>
    </w:p>
    <w:p w14:paraId="3F2F49AD" w14:textId="7D58D03D" w:rsidR="00FD15AB" w:rsidRPr="005E2E71" w:rsidRDefault="00FD15AB" w:rsidP="00FD15AB">
      <w:pPr>
        <w:rPr>
          <w:rFonts w:ascii="Arial" w:hAnsi="Arial" w:cs="Arial"/>
          <w:sz w:val="22"/>
          <w:szCs w:val="22"/>
        </w:rPr>
      </w:pPr>
      <w:r w:rsidRPr="005E2E71">
        <w:rPr>
          <w:rFonts w:ascii="Arial" w:hAnsi="Arial" w:cs="Arial"/>
          <w:sz w:val="22"/>
          <w:szCs w:val="22"/>
        </w:rPr>
        <w:t xml:space="preserve"> </w:t>
      </w:r>
    </w:p>
    <w:p w14:paraId="1C305052" w14:textId="1A0C2200" w:rsidR="00FD15AB" w:rsidRPr="005E2E71" w:rsidRDefault="00FD15AB" w:rsidP="00FD15AB">
      <w:pPr>
        <w:rPr>
          <w:rFonts w:ascii="Arial" w:hAnsi="Arial" w:cs="Arial"/>
          <w:sz w:val="22"/>
          <w:szCs w:val="22"/>
        </w:rPr>
      </w:pPr>
      <w:r w:rsidRPr="005E2E71">
        <w:rPr>
          <w:rFonts w:ascii="Arial" w:hAnsi="Arial" w:cs="Arial"/>
          <w:sz w:val="22"/>
          <w:szCs w:val="22"/>
        </w:rPr>
        <w:t>Royal Pharmaceutical Society (20</w:t>
      </w:r>
      <w:r w:rsidR="00A71D7D" w:rsidRPr="005E2E71">
        <w:rPr>
          <w:rFonts w:ascii="Arial" w:hAnsi="Arial" w:cs="Arial"/>
          <w:sz w:val="22"/>
          <w:szCs w:val="22"/>
        </w:rPr>
        <w:t>21</w:t>
      </w:r>
      <w:r w:rsidRPr="005E2E71">
        <w:rPr>
          <w:rFonts w:ascii="Arial" w:hAnsi="Arial" w:cs="Arial"/>
          <w:sz w:val="22"/>
          <w:szCs w:val="22"/>
        </w:rPr>
        <w:t xml:space="preserve">) </w:t>
      </w:r>
      <w:r w:rsidRPr="005E2E71">
        <w:rPr>
          <w:rFonts w:ascii="Arial" w:hAnsi="Arial" w:cs="Arial"/>
          <w:i/>
          <w:iCs/>
          <w:sz w:val="22"/>
          <w:szCs w:val="22"/>
        </w:rPr>
        <w:t>A Competency Framework for all Prescribers.</w:t>
      </w:r>
      <w:r w:rsidRPr="005E2E71">
        <w:rPr>
          <w:rFonts w:ascii="Arial" w:hAnsi="Arial" w:cs="Arial"/>
          <w:sz w:val="22"/>
          <w:szCs w:val="22"/>
        </w:rPr>
        <w:t xml:space="preserve"> Available at: </w:t>
      </w:r>
      <w:hyperlink r:id="rId19" w:history="1">
        <w:r w:rsidR="00A71D7D" w:rsidRPr="005E2E71">
          <w:rPr>
            <w:rStyle w:val="Hyperlink"/>
            <w:rFonts w:ascii="Arial" w:hAnsi="Arial" w:cs="Arial"/>
            <w:sz w:val="22"/>
            <w:szCs w:val="22"/>
          </w:rPr>
          <w:t>https://www.rpharms.com/Portals/0/RPS%20document%20library/Open%20access/Prescribing%20Competency%20Framework/RPS%20English%20Competency%20Framework%203.pdf?ver=mctnrKo4YaJDh2nA8N5G3A%3d%3d</w:t>
        </w:r>
      </w:hyperlink>
      <w:r w:rsidR="00A71D7D" w:rsidRPr="005E2E71">
        <w:rPr>
          <w:rFonts w:ascii="Arial" w:hAnsi="Arial" w:cs="Arial"/>
          <w:sz w:val="22"/>
          <w:szCs w:val="22"/>
        </w:rPr>
        <w:t xml:space="preserve"> (Accessed: 22/11/21)</w:t>
      </w:r>
    </w:p>
    <w:p w14:paraId="7636ABAE" w14:textId="2E626394" w:rsidR="00FD15AB" w:rsidRPr="005E2E71" w:rsidRDefault="00FD15AB" w:rsidP="00FD15AB">
      <w:pPr>
        <w:rPr>
          <w:rFonts w:ascii="Arial" w:hAnsi="Arial" w:cs="Arial"/>
        </w:rPr>
      </w:pPr>
    </w:p>
    <w:p w14:paraId="0F92E92E" w14:textId="67AE49ED" w:rsidR="00A71D7D" w:rsidRPr="005E2E71" w:rsidRDefault="00A71D7D" w:rsidP="00FD15AB">
      <w:pPr>
        <w:rPr>
          <w:rFonts w:ascii="Arial" w:hAnsi="Arial" w:cs="Arial"/>
          <w:i/>
          <w:iCs/>
          <w:sz w:val="22"/>
          <w:szCs w:val="22"/>
        </w:rPr>
      </w:pPr>
      <w:r w:rsidRPr="005E2E71">
        <w:rPr>
          <w:rFonts w:ascii="Arial" w:hAnsi="Arial" w:cs="Arial"/>
          <w:sz w:val="22"/>
          <w:szCs w:val="22"/>
        </w:rPr>
        <w:t xml:space="preserve">Royal Pharmaceutical Society (2019) </w:t>
      </w:r>
      <w:r w:rsidR="00BE3E97" w:rsidRPr="005E2E71">
        <w:rPr>
          <w:rFonts w:ascii="Arial" w:hAnsi="Arial" w:cs="Arial"/>
          <w:i/>
          <w:iCs/>
          <w:sz w:val="22"/>
          <w:szCs w:val="22"/>
        </w:rPr>
        <w:t>A Competency Framework for Designated Prescribing Practitioners</w:t>
      </w:r>
    </w:p>
    <w:p w14:paraId="42ED1E1B" w14:textId="706E5BE7" w:rsidR="00A71D7D" w:rsidRPr="005E2E71" w:rsidRDefault="00EF2880" w:rsidP="00FD15AB">
      <w:pPr>
        <w:rPr>
          <w:rFonts w:ascii="Arial" w:hAnsi="Arial" w:cs="Arial"/>
          <w:sz w:val="22"/>
          <w:szCs w:val="22"/>
        </w:rPr>
      </w:pPr>
      <w:hyperlink r:id="rId20" w:history="1">
        <w:r w:rsidR="00A71D7D" w:rsidRPr="005E2E71">
          <w:rPr>
            <w:rStyle w:val="Hyperlink"/>
            <w:rFonts w:ascii="Arial" w:hAnsi="Arial" w:cs="Arial"/>
            <w:sz w:val="22"/>
            <w:szCs w:val="22"/>
          </w:rPr>
          <w:t>https://www.rpharms.com/Portals/0/RPS%20document%20library/Open%20access/Professional%20standards/DPP%20Framework/DPP%20competency%20framework%20Dec%202019.pdf</w:t>
        </w:r>
      </w:hyperlink>
      <w:r w:rsidR="00856462" w:rsidRPr="005E2E71">
        <w:rPr>
          <w:rStyle w:val="Hyperlink"/>
          <w:rFonts w:ascii="Arial" w:hAnsi="Arial" w:cs="Arial"/>
          <w:sz w:val="22"/>
          <w:szCs w:val="22"/>
        </w:rPr>
        <w:t xml:space="preserve">  </w:t>
      </w:r>
      <w:r w:rsidR="00856462" w:rsidRPr="005E2E71">
        <w:rPr>
          <w:rStyle w:val="Hyperlink"/>
          <w:rFonts w:ascii="Arial" w:hAnsi="Arial" w:cs="Arial"/>
          <w:color w:val="000000" w:themeColor="text1"/>
          <w:sz w:val="22"/>
          <w:szCs w:val="22"/>
          <w:u w:val="none"/>
        </w:rPr>
        <w:t>(Accessed: 06/12/21)</w:t>
      </w:r>
    </w:p>
    <w:p w14:paraId="535E3054" w14:textId="2DA762E0" w:rsidR="00A71D7D" w:rsidRPr="005E2E71" w:rsidRDefault="00A71D7D" w:rsidP="00FD15AB">
      <w:pPr>
        <w:rPr>
          <w:rFonts w:ascii="Arial" w:hAnsi="Arial" w:cs="Arial"/>
        </w:rPr>
      </w:pPr>
    </w:p>
    <w:p w14:paraId="63343CA7" w14:textId="71B39137" w:rsidR="0006194C" w:rsidRPr="005E2E71" w:rsidRDefault="0006194C" w:rsidP="00FD15AB">
      <w:pPr>
        <w:rPr>
          <w:rFonts w:ascii="Arial" w:hAnsi="Arial" w:cs="Arial"/>
          <w:sz w:val="22"/>
          <w:szCs w:val="22"/>
        </w:rPr>
      </w:pPr>
      <w:r w:rsidRPr="005E2E71">
        <w:rPr>
          <w:rFonts w:ascii="Arial" w:hAnsi="Arial" w:cs="Arial"/>
          <w:sz w:val="22"/>
          <w:szCs w:val="22"/>
        </w:rPr>
        <w:t xml:space="preserve">Young, C; Perovic, N. (2016) </w:t>
      </w:r>
      <w:r w:rsidR="00A65EB0" w:rsidRPr="005E2E71">
        <w:rPr>
          <w:rFonts w:ascii="Arial" w:hAnsi="Arial" w:cs="Arial"/>
          <w:sz w:val="22"/>
          <w:szCs w:val="22"/>
        </w:rPr>
        <w:t xml:space="preserve">‘Rapid and Creative Course Design: As Easy as ABC?’ </w:t>
      </w:r>
      <w:r w:rsidR="00A65EB0" w:rsidRPr="005E2E71">
        <w:rPr>
          <w:rFonts w:ascii="Arial" w:hAnsi="Arial" w:cs="Arial"/>
          <w:i/>
          <w:iCs/>
          <w:sz w:val="22"/>
          <w:szCs w:val="22"/>
        </w:rPr>
        <w:t xml:space="preserve">Procedia- Social and Behavioural Sciences, </w:t>
      </w:r>
      <w:r w:rsidR="00A65EB0" w:rsidRPr="005E2E71">
        <w:rPr>
          <w:rFonts w:ascii="Arial" w:hAnsi="Arial" w:cs="Arial"/>
          <w:sz w:val="22"/>
          <w:szCs w:val="22"/>
        </w:rPr>
        <w:t xml:space="preserve">228, pp. 390-395 </w:t>
      </w:r>
    </w:p>
    <w:p w14:paraId="10D6D1C9" w14:textId="1C3AC797" w:rsidR="00A65EB0" w:rsidRPr="005E2E71" w:rsidRDefault="00A65EB0" w:rsidP="00FD15AB">
      <w:pPr>
        <w:rPr>
          <w:rFonts w:ascii="Arial" w:hAnsi="Arial" w:cs="Arial"/>
          <w:sz w:val="22"/>
          <w:szCs w:val="22"/>
        </w:rPr>
      </w:pPr>
    </w:p>
    <w:p w14:paraId="6E7ACF47" w14:textId="77777777" w:rsidR="00EE026C" w:rsidRPr="005E2E71" w:rsidRDefault="00EE026C" w:rsidP="00EE026C">
      <w:pPr>
        <w:pStyle w:val="ListParagraph"/>
        <w:numPr>
          <w:ilvl w:val="0"/>
          <w:numId w:val="1"/>
        </w:numPr>
        <w:autoSpaceDE w:val="0"/>
        <w:autoSpaceDN w:val="0"/>
        <w:contextualSpacing w:val="0"/>
        <w:rPr>
          <w:rFonts w:ascii="Arial" w:hAnsi="Arial" w:cs="Arial"/>
          <w:b/>
        </w:rPr>
      </w:pPr>
      <w:r w:rsidRPr="005E2E71">
        <w:rPr>
          <w:rFonts w:ascii="Arial" w:hAnsi="Arial" w:cs="Arial"/>
          <w:b/>
        </w:rPr>
        <w:t>Development of Course Learning Outcomes and RPS (2021) Competencies in Modules</w:t>
      </w:r>
    </w:p>
    <w:p w14:paraId="786ED498" w14:textId="77777777" w:rsidR="00EE026C" w:rsidRPr="005E2E71" w:rsidRDefault="00EE026C" w:rsidP="00EE026C">
      <w:pPr>
        <w:rPr>
          <w:rFonts w:ascii="Arial" w:hAnsi="Arial" w:cs="Arial"/>
          <w:b/>
          <w:sz w:val="22"/>
          <w:szCs w:val="22"/>
        </w:rPr>
      </w:pPr>
    </w:p>
    <w:p w14:paraId="4EDECA85" w14:textId="77777777" w:rsidR="00EE026C" w:rsidRPr="005E2E71" w:rsidRDefault="00EE026C" w:rsidP="00EE026C">
      <w:pPr>
        <w:rPr>
          <w:rFonts w:ascii="Arial" w:hAnsi="Arial" w:cs="Arial"/>
          <w:color w:val="FF0000"/>
          <w:sz w:val="22"/>
          <w:szCs w:val="22"/>
        </w:rPr>
      </w:pPr>
      <w:r w:rsidRPr="005E2E71">
        <w:rPr>
          <w:rFonts w:ascii="Arial" w:hAnsi="Arial" w:cs="Arial"/>
          <w:sz w:val="22"/>
          <w:szCs w:val="22"/>
        </w:rPr>
        <w:t xml:space="preserve">This table maps where course learning outcomes and RPS (2021) competencies are </w:t>
      </w:r>
      <w:proofErr w:type="spellStart"/>
      <w:r w:rsidRPr="005E2E71">
        <w:rPr>
          <w:rFonts w:ascii="Arial" w:hAnsi="Arial" w:cs="Arial"/>
          <w:b/>
          <w:sz w:val="22"/>
          <w:szCs w:val="22"/>
        </w:rPr>
        <w:t>summatively</w:t>
      </w:r>
      <w:proofErr w:type="spellEnd"/>
      <w:r w:rsidRPr="005E2E71">
        <w:rPr>
          <w:rFonts w:ascii="Arial" w:hAnsi="Arial" w:cs="Arial"/>
          <w:sz w:val="22"/>
          <w:szCs w:val="22"/>
        </w:rPr>
        <w:t xml:space="preserve"> assessed across the modules for this course.  It provides an aid to academic </w:t>
      </w:r>
      <w:r w:rsidRPr="005E2E71">
        <w:rPr>
          <w:rFonts w:ascii="Arial" w:hAnsi="Arial" w:cs="Arial"/>
          <w:sz w:val="22"/>
          <w:szCs w:val="22"/>
        </w:rPr>
        <w:lastRenderedPageBreak/>
        <w:t xml:space="preserve">staff in understanding how individual modules contribute to the course aims, a means to help students monitor their own learning, personal and professional development as the course progresses and a checklist for quality assurance purposes.  </w:t>
      </w:r>
      <w:r w:rsidRPr="005E2E71">
        <w:rPr>
          <w:rFonts w:ascii="Arial" w:hAnsi="Arial" w:cs="Arial"/>
          <w:color w:val="FF0000"/>
          <w:sz w:val="22"/>
          <w:szCs w:val="22"/>
        </w:rPr>
        <w:t xml:space="preserve"> </w:t>
      </w:r>
    </w:p>
    <w:p w14:paraId="540C4188" w14:textId="77777777" w:rsidR="00EE026C" w:rsidRPr="005E2E71" w:rsidRDefault="00EE026C" w:rsidP="00EE026C">
      <w:pPr>
        <w:rPr>
          <w:rFonts w:ascii="Arial" w:hAnsi="Arial" w:cs="Arial"/>
          <w:color w:val="FF0000"/>
          <w:sz w:val="22"/>
          <w:szCs w:val="22"/>
        </w:rPr>
      </w:pPr>
    </w:p>
    <w:p w14:paraId="753AE9DA" w14:textId="3695E869" w:rsidR="00EE026C" w:rsidRPr="005E2E71" w:rsidRDefault="00EE026C" w:rsidP="00EE026C">
      <w:pPr>
        <w:rPr>
          <w:rFonts w:ascii="Arial" w:hAnsi="Arial" w:cs="Arial"/>
          <w:sz w:val="22"/>
          <w:szCs w:val="22"/>
        </w:rPr>
      </w:pPr>
      <w:r w:rsidRPr="005E2E71">
        <w:rPr>
          <w:rFonts w:ascii="Arial" w:hAnsi="Arial" w:cs="Arial"/>
          <w:sz w:val="22"/>
          <w:szCs w:val="22"/>
        </w:rPr>
        <w:t xml:space="preserve">Table 1. Mapping of PG Cert Programme Learning Outcomes and RPS competencies to the modules. </w:t>
      </w:r>
    </w:p>
    <w:p w14:paraId="702A3C2A" w14:textId="77777777" w:rsidR="00EE026C" w:rsidRPr="005E2E71" w:rsidRDefault="00EE026C" w:rsidP="00EE026C">
      <w:pPr>
        <w:rPr>
          <w:rFonts w:ascii="Arial" w:hAnsi="Arial" w:cs="Arial"/>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500"/>
        <w:gridCol w:w="1479"/>
        <w:gridCol w:w="1718"/>
      </w:tblGrid>
      <w:tr w:rsidR="00EE026C" w:rsidRPr="005E2E71" w14:paraId="7CE8906F" w14:textId="77777777" w:rsidTr="00306D52">
        <w:trPr>
          <w:cantSplit/>
          <w:trHeight w:val="1143"/>
        </w:trPr>
        <w:tc>
          <w:tcPr>
            <w:tcW w:w="3227" w:type="pct"/>
            <w:gridSpan w:val="2"/>
            <w:shd w:val="clear" w:color="auto" w:fill="auto"/>
          </w:tcPr>
          <w:p w14:paraId="1F530DB9" w14:textId="77777777" w:rsidR="00EE026C" w:rsidRPr="005E2E71" w:rsidRDefault="00EE026C" w:rsidP="00306D52">
            <w:pPr>
              <w:rPr>
                <w:rFonts w:ascii="Arial" w:hAnsi="Arial" w:cs="Arial"/>
                <w:sz w:val="18"/>
                <w:szCs w:val="18"/>
              </w:rPr>
            </w:pPr>
            <w:r w:rsidRPr="005E2E71">
              <w:rPr>
                <w:rFonts w:ascii="Arial" w:hAnsi="Arial" w:cs="Arial"/>
                <w:sz w:val="18"/>
                <w:szCs w:val="18"/>
              </w:rPr>
              <w:t>Module Title</w:t>
            </w:r>
          </w:p>
        </w:tc>
        <w:tc>
          <w:tcPr>
            <w:tcW w:w="820" w:type="pct"/>
            <w:shd w:val="clear" w:color="auto" w:fill="E7E6E6" w:themeFill="background2"/>
          </w:tcPr>
          <w:p w14:paraId="50422C6D" w14:textId="04E39766" w:rsidR="00EE026C" w:rsidRPr="005E2E71" w:rsidRDefault="00EE026C" w:rsidP="00306D52">
            <w:pPr>
              <w:rPr>
                <w:rFonts w:ascii="Arial" w:hAnsi="Arial" w:cs="Arial"/>
                <w:sz w:val="16"/>
                <w:szCs w:val="16"/>
              </w:rPr>
            </w:pPr>
            <w:r w:rsidRPr="005E2E71">
              <w:rPr>
                <w:rFonts w:ascii="Arial" w:hAnsi="Arial" w:cs="Arial"/>
                <w:sz w:val="16"/>
                <w:szCs w:val="16"/>
              </w:rPr>
              <w:t>Advanced clinical reasoning in health assessment: lifespan perspectives</w:t>
            </w:r>
          </w:p>
        </w:tc>
        <w:tc>
          <w:tcPr>
            <w:tcW w:w="953" w:type="pct"/>
            <w:shd w:val="clear" w:color="auto" w:fill="E7E6E6" w:themeFill="background2"/>
          </w:tcPr>
          <w:p w14:paraId="15AF309C" w14:textId="77777777" w:rsidR="00EE026C" w:rsidRPr="005E2E71" w:rsidRDefault="00EE026C" w:rsidP="00306D52">
            <w:pPr>
              <w:rPr>
                <w:rFonts w:ascii="Arial" w:hAnsi="Arial" w:cs="Arial"/>
                <w:sz w:val="16"/>
                <w:szCs w:val="16"/>
              </w:rPr>
            </w:pPr>
            <w:r w:rsidRPr="005E2E71">
              <w:rPr>
                <w:rFonts w:ascii="Arial" w:hAnsi="Arial" w:cs="Arial"/>
                <w:sz w:val="16"/>
                <w:szCs w:val="16"/>
              </w:rPr>
              <w:t>V300</w:t>
            </w:r>
          </w:p>
        </w:tc>
      </w:tr>
      <w:tr w:rsidR="0087283F" w:rsidRPr="005E2E71" w14:paraId="2352ED6F" w14:textId="77777777" w:rsidTr="00306D52">
        <w:trPr>
          <w:trHeight w:val="261"/>
        </w:trPr>
        <w:tc>
          <w:tcPr>
            <w:tcW w:w="2395" w:type="pct"/>
            <w:vMerge w:val="restart"/>
            <w:shd w:val="clear" w:color="auto" w:fill="auto"/>
          </w:tcPr>
          <w:p w14:paraId="00F9E245" w14:textId="77777777" w:rsidR="0087283F" w:rsidRPr="005E2E71" w:rsidRDefault="0087283F" w:rsidP="00306D52">
            <w:pPr>
              <w:rPr>
                <w:rFonts w:ascii="Arial" w:hAnsi="Arial" w:cs="Arial"/>
                <w:b/>
                <w:bCs/>
                <w:sz w:val="16"/>
                <w:szCs w:val="16"/>
              </w:rPr>
            </w:pPr>
            <w:r w:rsidRPr="005E2E71">
              <w:rPr>
                <w:rFonts w:ascii="Arial" w:hAnsi="Arial" w:cs="Arial"/>
                <w:b/>
                <w:bCs/>
                <w:sz w:val="16"/>
                <w:szCs w:val="16"/>
              </w:rPr>
              <w:t>Knowledge &amp; Understanding</w:t>
            </w:r>
          </w:p>
        </w:tc>
        <w:tc>
          <w:tcPr>
            <w:tcW w:w="832" w:type="pct"/>
            <w:shd w:val="clear" w:color="auto" w:fill="auto"/>
          </w:tcPr>
          <w:p w14:paraId="0D6A32EF" w14:textId="77777777" w:rsidR="0087283F" w:rsidRPr="005E2E71" w:rsidRDefault="0087283F" w:rsidP="00306D52">
            <w:pPr>
              <w:rPr>
                <w:rFonts w:ascii="Arial" w:hAnsi="Arial" w:cs="Arial"/>
                <w:b/>
                <w:bCs/>
                <w:sz w:val="16"/>
                <w:szCs w:val="16"/>
              </w:rPr>
            </w:pPr>
            <w:r w:rsidRPr="005E2E71">
              <w:rPr>
                <w:rFonts w:ascii="Arial" w:hAnsi="Arial" w:cs="Arial"/>
                <w:b/>
                <w:bCs/>
                <w:sz w:val="16"/>
                <w:szCs w:val="16"/>
              </w:rPr>
              <w:t>A1</w:t>
            </w:r>
          </w:p>
        </w:tc>
        <w:tc>
          <w:tcPr>
            <w:tcW w:w="820" w:type="pct"/>
            <w:shd w:val="clear" w:color="auto" w:fill="E7E6E6" w:themeFill="background2"/>
          </w:tcPr>
          <w:p w14:paraId="3E30A157" w14:textId="28D4751F" w:rsidR="0087283F" w:rsidRPr="005E2E71" w:rsidRDefault="0087283F" w:rsidP="00306D52">
            <w:pPr>
              <w:rPr>
                <w:rFonts w:ascii="Arial" w:hAnsi="Arial" w:cs="Arial"/>
                <w:sz w:val="16"/>
                <w:szCs w:val="16"/>
              </w:rPr>
            </w:pPr>
            <w:r w:rsidRPr="005E2E71">
              <w:rPr>
                <w:rFonts w:ascii="Arial" w:hAnsi="Arial" w:cs="Arial"/>
                <w:sz w:val="16"/>
                <w:szCs w:val="16"/>
              </w:rPr>
              <w:t>X</w:t>
            </w:r>
          </w:p>
        </w:tc>
        <w:tc>
          <w:tcPr>
            <w:tcW w:w="953" w:type="pct"/>
            <w:shd w:val="clear" w:color="auto" w:fill="E7E6E6" w:themeFill="background2"/>
          </w:tcPr>
          <w:p w14:paraId="6AAA5384" w14:textId="77777777" w:rsidR="0087283F" w:rsidRPr="005E2E71" w:rsidRDefault="0087283F" w:rsidP="00306D52">
            <w:pPr>
              <w:rPr>
                <w:rFonts w:ascii="Arial" w:hAnsi="Arial" w:cs="Arial"/>
                <w:sz w:val="16"/>
                <w:szCs w:val="16"/>
              </w:rPr>
            </w:pPr>
            <w:r w:rsidRPr="005E2E71">
              <w:rPr>
                <w:rFonts w:ascii="Arial" w:hAnsi="Arial" w:cs="Arial"/>
                <w:sz w:val="16"/>
                <w:szCs w:val="16"/>
              </w:rPr>
              <w:t>X</w:t>
            </w:r>
          </w:p>
        </w:tc>
      </w:tr>
      <w:tr w:rsidR="0087283F" w:rsidRPr="005E2E71" w14:paraId="2CC4BA30" w14:textId="77777777" w:rsidTr="00306D52">
        <w:tc>
          <w:tcPr>
            <w:tcW w:w="2395" w:type="pct"/>
            <w:vMerge/>
            <w:shd w:val="clear" w:color="auto" w:fill="auto"/>
          </w:tcPr>
          <w:p w14:paraId="3F6B862E" w14:textId="77777777" w:rsidR="0087283F" w:rsidRPr="005E2E71" w:rsidRDefault="0087283F" w:rsidP="00306D52">
            <w:pPr>
              <w:rPr>
                <w:rFonts w:ascii="Arial" w:hAnsi="Arial" w:cs="Arial"/>
                <w:b/>
                <w:bCs/>
                <w:sz w:val="16"/>
                <w:szCs w:val="16"/>
              </w:rPr>
            </w:pPr>
          </w:p>
        </w:tc>
        <w:tc>
          <w:tcPr>
            <w:tcW w:w="832" w:type="pct"/>
            <w:shd w:val="clear" w:color="auto" w:fill="auto"/>
          </w:tcPr>
          <w:p w14:paraId="1B0757CC" w14:textId="77777777" w:rsidR="0087283F" w:rsidRPr="005E2E71" w:rsidRDefault="0087283F" w:rsidP="00306D52">
            <w:pPr>
              <w:rPr>
                <w:rFonts w:ascii="Arial" w:hAnsi="Arial" w:cs="Arial"/>
                <w:b/>
                <w:bCs/>
                <w:sz w:val="16"/>
                <w:szCs w:val="16"/>
              </w:rPr>
            </w:pPr>
            <w:r w:rsidRPr="005E2E71">
              <w:rPr>
                <w:rFonts w:ascii="Arial" w:hAnsi="Arial" w:cs="Arial"/>
                <w:b/>
                <w:bCs/>
                <w:sz w:val="16"/>
                <w:szCs w:val="16"/>
              </w:rPr>
              <w:t>A2</w:t>
            </w:r>
          </w:p>
        </w:tc>
        <w:tc>
          <w:tcPr>
            <w:tcW w:w="820" w:type="pct"/>
            <w:shd w:val="clear" w:color="auto" w:fill="E7E6E6" w:themeFill="background2"/>
          </w:tcPr>
          <w:p w14:paraId="03BFF2B9" w14:textId="77777777" w:rsidR="0087283F" w:rsidRPr="005E2E71" w:rsidRDefault="0087283F" w:rsidP="00306D52">
            <w:pPr>
              <w:rPr>
                <w:rFonts w:ascii="Arial" w:hAnsi="Arial" w:cs="Arial"/>
                <w:sz w:val="16"/>
                <w:szCs w:val="16"/>
              </w:rPr>
            </w:pPr>
          </w:p>
        </w:tc>
        <w:tc>
          <w:tcPr>
            <w:tcW w:w="953" w:type="pct"/>
            <w:shd w:val="clear" w:color="auto" w:fill="E7E6E6" w:themeFill="background2"/>
          </w:tcPr>
          <w:p w14:paraId="75CF4CDD" w14:textId="77777777" w:rsidR="0087283F" w:rsidRPr="005E2E71" w:rsidRDefault="0087283F" w:rsidP="00306D52">
            <w:pPr>
              <w:rPr>
                <w:rFonts w:ascii="Arial" w:hAnsi="Arial" w:cs="Arial"/>
                <w:sz w:val="16"/>
                <w:szCs w:val="16"/>
              </w:rPr>
            </w:pPr>
            <w:r w:rsidRPr="005E2E71">
              <w:rPr>
                <w:rFonts w:ascii="Arial" w:hAnsi="Arial" w:cs="Arial"/>
                <w:sz w:val="16"/>
                <w:szCs w:val="16"/>
              </w:rPr>
              <w:t>X</w:t>
            </w:r>
          </w:p>
        </w:tc>
      </w:tr>
      <w:tr w:rsidR="0087283F" w:rsidRPr="005E2E71" w14:paraId="60432728" w14:textId="77777777" w:rsidTr="00306D52">
        <w:tc>
          <w:tcPr>
            <w:tcW w:w="2395" w:type="pct"/>
            <w:vMerge/>
            <w:shd w:val="clear" w:color="auto" w:fill="auto"/>
          </w:tcPr>
          <w:p w14:paraId="576FDA88" w14:textId="77777777" w:rsidR="0087283F" w:rsidRPr="005E2E71" w:rsidRDefault="0087283F" w:rsidP="00306D52">
            <w:pPr>
              <w:rPr>
                <w:rFonts w:ascii="Arial" w:hAnsi="Arial" w:cs="Arial"/>
                <w:b/>
                <w:bCs/>
                <w:sz w:val="16"/>
                <w:szCs w:val="16"/>
              </w:rPr>
            </w:pPr>
          </w:p>
        </w:tc>
        <w:tc>
          <w:tcPr>
            <w:tcW w:w="832" w:type="pct"/>
            <w:shd w:val="clear" w:color="auto" w:fill="auto"/>
          </w:tcPr>
          <w:p w14:paraId="791F799B" w14:textId="1D87DDD5" w:rsidR="0087283F" w:rsidRPr="005E2E71" w:rsidRDefault="0087283F" w:rsidP="00306D52">
            <w:pPr>
              <w:rPr>
                <w:rFonts w:ascii="Arial" w:hAnsi="Arial" w:cs="Arial"/>
                <w:b/>
                <w:bCs/>
                <w:sz w:val="16"/>
                <w:szCs w:val="16"/>
              </w:rPr>
            </w:pPr>
            <w:r w:rsidRPr="005E2E71">
              <w:rPr>
                <w:rFonts w:ascii="Arial" w:hAnsi="Arial" w:cs="Arial"/>
                <w:b/>
                <w:bCs/>
                <w:sz w:val="16"/>
                <w:szCs w:val="16"/>
              </w:rPr>
              <w:t>A3</w:t>
            </w:r>
          </w:p>
        </w:tc>
        <w:tc>
          <w:tcPr>
            <w:tcW w:w="820" w:type="pct"/>
            <w:shd w:val="clear" w:color="auto" w:fill="E7E6E6" w:themeFill="background2"/>
          </w:tcPr>
          <w:p w14:paraId="47892638" w14:textId="77777777" w:rsidR="0087283F" w:rsidRPr="005E2E71" w:rsidRDefault="0087283F" w:rsidP="00306D52">
            <w:pPr>
              <w:rPr>
                <w:rFonts w:ascii="Arial" w:hAnsi="Arial" w:cs="Arial"/>
                <w:sz w:val="16"/>
                <w:szCs w:val="16"/>
              </w:rPr>
            </w:pPr>
          </w:p>
        </w:tc>
        <w:tc>
          <w:tcPr>
            <w:tcW w:w="953" w:type="pct"/>
            <w:shd w:val="clear" w:color="auto" w:fill="E7E6E6" w:themeFill="background2"/>
          </w:tcPr>
          <w:p w14:paraId="738C165F" w14:textId="6DF51CE4" w:rsidR="0087283F" w:rsidRPr="005E2E71" w:rsidRDefault="0087283F" w:rsidP="00306D52">
            <w:pPr>
              <w:rPr>
                <w:rFonts w:ascii="Arial" w:hAnsi="Arial" w:cs="Arial"/>
                <w:sz w:val="16"/>
                <w:szCs w:val="16"/>
              </w:rPr>
            </w:pPr>
            <w:r w:rsidRPr="005E2E71">
              <w:rPr>
                <w:rFonts w:ascii="Arial" w:hAnsi="Arial" w:cs="Arial"/>
                <w:sz w:val="16"/>
                <w:szCs w:val="16"/>
              </w:rPr>
              <w:t>X</w:t>
            </w:r>
          </w:p>
        </w:tc>
      </w:tr>
      <w:tr w:rsidR="0087283F" w:rsidRPr="005E2E71" w14:paraId="2B6E3279" w14:textId="77777777" w:rsidTr="0087283F">
        <w:tc>
          <w:tcPr>
            <w:tcW w:w="2395" w:type="pct"/>
            <w:vMerge w:val="restart"/>
            <w:shd w:val="clear" w:color="auto" w:fill="auto"/>
          </w:tcPr>
          <w:p w14:paraId="12279FAD" w14:textId="77777777" w:rsidR="0087283F" w:rsidRPr="005E2E71" w:rsidRDefault="0087283F" w:rsidP="00306D52">
            <w:pPr>
              <w:rPr>
                <w:rFonts w:ascii="Arial" w:hAnsi="Arial" w:cs="Arial"/>
                <w:b/>
                <w:bCs/>
                <w:sz w:val="16"/>
                <w:szCs w:val="16"/>
              </w:rPr>
            </w:pPr>
            <w:r w:rsidRPr="005E2E71">
              <w:rPr>
                <w:rFonts w:ascii="Arial" w:hAnsi="Arial" w:cs="Arial"/>
                <w:b/>
                <w:bCs/>
                <w:sz w:val="16"/>
                <w:szCs w:val="16"/>
              </w:rPr>
              <w:t>Intellectual Skills</w:t>
            </w:r>
          </w:p>
        </w:tc>
        <w:tc>
          <w:tcPr>
            <w:tcW w:w="832" w:type="pct"/>
            <w:shd w:val="clear" w:color="auto" w:fill="auto"/>
          </w:tcPr>
          <w:p w14:paraId="15257A54" w14:textId="2B8D8DED" w:rsidR="0087283F" w:rsidRPr="005E2E71" w:rsidRDefault="0087283F" w:rsidP="00306D52">
            <w:pPr>
              <w:rPr>
                <w:rFonts w:ascii="Arial" w:hAnsi="Arial" w:cs="Arial"/>
                <w:b/>
                <w:bCs/>
                <w:sz w:val="16"/>
                <w:szCs w:val="16"/>
              </w:rPr>
            </w:pPr>
            <w:r w:rsidRPr="005E2E71">
              <w:rPr>
                <w:rFonts w:ascii="Arial" w:hAnsi="Arial" w:cs="Arial"/>
                <w:b/>
                <w:bCs/>
                <w:sz w:val="16"/>
                <w:szCs w:val="16"/>
              </w:rPr>
              <w:t>B1</w:t>
            </w:r>
          </w:p>
        </w:tc>
        <w:tc>
          <w:tcPr>
            <w:tcW w:w="820" w:type="pct"/>
            <w:shd w:val="clear" w:color="auto" w:fill="E7E6E6" w:themeFill="background2"/>
          </w:tcPr>
          <w:p w14:paraId="59D2B11F" w14:textId="77777777" w:rsidR="0087283F" w:rsidRPr="005E2E71" w:rsidRDefault="0087283F" w:rsidP="00306D52">
            <w:pPr>
              <w:rPr>
                <w:rFonts w:ascii="Arial" w:hAnsi="Arial" w:cs="Arial"/>
                <w:sz w:val="16"/>
                <w:szCs w:val="16"/>
              </w:rPr>
            </w:pPr>
            <w:r w:rsidRPr="005E2E71">
              <w:rPr>
                <w:rFonts w:ascii="Arial" w:hAnsi="Arial" w:cs="Arial"/>
                <w:sz w:val="16"/>
                <w:szCs w:val="16"/>
              </w:rPr>
              <w:t>X</w:t>
            </w:r>
          </w:p>
        </w:tc>
        <w:tc>
          <w:tcPr>
            <w:tcW w:w="953" w:type="pct"/>
            <w:shd w:val="clear" w:color="auto" w:fill="E7E6E6" w:themeFill="background2"/>
          </w:tcPr>
          <w:p w14:paraId="02E1CC7B" w14:textId="77777777" w:rsidR="0087283F" w:rsidRPr="005E2E71" w:rsidRDefault="0087283F" w:rsidP="00306D52">
            <w:pPr>
              <w:rPr>
                <w:rFonts w:ascii="Arial" w:hAnsi="Arial" w:cs="Arial"/>
                <w:sz w:val="16"/>
                <w:szCs w:val="16"/>
              </w:rPr>
            </w:pPr>
            <w:r w:rsidRPr="005E2E71">
              <w:rPr>
                <w:rFonts w:ascii="Arial" w:hAnsi="Arial" w:cs="Arial"/>
                <w:sz w:val="16"/>
                <w:szCs w:val="16"/>
              </w:rPr>
              <w:t>X</w:t>
            </w:r>
          </w:p>
        </w:tc>
      </w:tr>
      <w:tr w:rsidR="0087283F" w:rsidRPr="005E2E71" w14:paraId="3B4A9850" w14:textId="77777777" w:rsidTr="0087283F">
        <w:tc>
          <w:tcPr>
            <w:tcW w:w="2395" w:type="pct"/>
            <w:vMerge/>
            <w:shd w:val="clear" w:color="auto" w:fill="auto"/>
          </w:tcPr>
          <w:p w14:paraId="754B24A3" w14:textId="77777777" w:rsidR="0087283F" w:rsidRPr="005E2E71" w:rsidRDefault="0087283F" w:rsidP="00306D52">
            <w:pPr>
              <w:rPr>
                <w:rFonts w:ascii="Arial" w:hAnsi="Arial" w:cs="Arial"/>
                <w:b/>
                <w:bCs/>
                <w:sz w:val="16"/>
                <w:szCs w:val="16"/>
              </w:rPr>
            </w:pPr>
          </w:p>
        </w:tc>
        <w:tc>
          <w:tcPr>
            <w:tcW w:w="832" w:type="pct"/>
            <w:shd w:val="clear" w:color="auto" w:fill="auto"/>
          </w:tcPr>
          <w:p w14:paraId="727F99AA" w14:textId="1E653FD4" w:rsidR="0087283F" w:rsidRPr="005E2E71" w:rsidRDefault="0087283F" w:rsidP="00306D52">
            <w:pPr>
              <w:rPr>
                <w:rFonts w:ascii="Arial" w:hAnsi="Arial" w:cs="Arial"/>
                <w:b/>
                <w:bCs/>
                <w:sz w:val="16"/>
                <w:szCs w:val="16"/>
              </w:rPr>
            </w:pPr>
            <w:r w:rsidRPr="005E2E71">
              <w:rPr>
                <w:rFonts w:ascii="Arial" w:hAnsi="Arial" w:cs="Arial"/>
                <w:b/>
                <w:bCs/>
                <w:sz w:val="16"/>
                <w:szCs w:val="16"/>
              </w:rPr>
              <w:t>B2</w:t>
            </w:r>
          </w:p>
        </w:tc>
        <w:tc>
          <w:tcPr>
            <w:tcW w:w="820" w:type="pct"/>
            <w:shd w:val="clear" w:color="auto" w:fill="E7E6E6" w:themeFill="background2"/>
          </w:tcPr>
          <w:p w14:paraId="24370E96" w14:textId="56ED8A56" w:rsidR="0087283F" w:rsidRPr="005E2E71" w:rsidRDefault="0087283F" w:rsidP="00306D52">
            <w:pPr>
              <w:rPr>
                <w:rFonts w:ascii="Arial" w:hAnsi="Arial" w:cs="Arial"/>
                <w:sz w:val="16"/>
                <w:szCs w:val="16"/>
              </w:rPr>
            </w:pPr>
            <w:r w:rsidRPr="005E2E71">
              <w:rPr>
                <w:rFonts w:ascii="Arial" w:hAnsi="Arial" w:cs="Arial"/>
                <w:sz w:val="16"/>
                <w:szCs w:val="16"/>
              </w:rPr>
              <w:t>X</w:t>
            </w:r>
          </w:p>
        </w:tc>
        <w:tc>
          <w:tcPr>
            <w:tcW w:w="953" w:type="pct"/>
            <w:shd w:val="clear" w:color="auto" w:fill="E7E6E6" w:themeFill="background2"/>
          </w:tcPr>
          <w:p w14:paraId="6F3765D5" w14:textId="77777777" w:rsidR="0087283F" w:rsidRPr="005E2E71" w:rsidRDefault="0087283F" w:rsidP="00306D52">
            <w:pPr>
              <w:rPr>
                <w:rFonts w:ascii="Arial" w:hAnsi="Arial" w:cs="Arial"/>
                <w:sz w:val="16"/>
                <w:szCs w:val="16"/>
              </w:rPr>
            </w:pPr>
          </w:p>
        </w:tc>
      </w:tr>
      <w:tr w:rsidR="00EE026C" w:rsidRPr="005E2E71" w14:paraId="072305F6" w14:textId="77777777" w:rsidTr="00306D52">
        <w:tc>
          <w:tcPr>
            <w:tcW w:w="2395" w:type="pct"/>
            <w:vMerge w:val="restart"/>
            <w:shd w:val="clear" w:color="auto" w:fill="auto"/>
          </w:tcPr>
          <w:p w14:paraId="3D9310BE" w14:textId="77777777" w:rsidR="00EE026C" w:rsidRPr="005E2E71" w:rsidRDefault="00EE026C" w:rsidP="00306D52">
            <w:pPr>
              <w:rPr>
                <w:rFonts w:ascii="Arial" w:hAnsi="Arial" w:cs="Arial"/>
                <w:b/>
                <w:bCs/>
                <w:sz w:val="16"/>
                <w:szCs w:val="16"/>
              </w:rPr>
            </w:pPr>
            <w:r w:rsidRPr="005E2E71">
              <w:rPr>
                <w:rFonts w:ascii="Arial" w:hAnsi="Arial" w:cs="Arial"/>
                <w:b/>
                <w:bCs/>
                <w:sz w:val="16"/>
                <w:szCs w:val="16"/>
              </w:rPr>
              <w:t>Practical Skills</w:t>
            </w:r>
          </w:p>
        </w:tc>
        <w:tc>
          <w:tcPr>
            <w:tcW w:w="832" w:type="pct"/>
            <w:shd w:val="clear" w:color="auto" w:fill="auto"/>
          </w:tcPr>
          <w:p w14:paraId="4DF63020" w14:textId="77777777" w:rsidR="00EE026C" w:rsidRPr="005E2E71" w:rsidRDefault="00EE026C" w:rsidP="00306D52">
            <w:pPr>
              <w:rPr>
                <w:rFonts w:ascii="Arial" w:hAnsi="Arial" w:cs="Arial"/>
                <w:b/>
                <w:bCs/>
                <w:sz w:val="16"/>
                <w:szCs w:val="16"/>
              </w:rPr>
            </w:pPr>
            <w:r w:rsidRPr="005E2E71">
              <w:rPr>
                <w:rFonts w:ascii="Arial" w:hAnsi="Arial" w:cs="Arial"/>
                <w:b/>
                <w:bCs/>
                <w:sz w:val="16"/>
                <w:szCs w:val="16"/>
              </w:rPr>
              <w:t>C1</w:t>
            </w:r>
          </w:p>
        </w:tc>
        <w:tc>
          <w:tcPr>
            <w:tcW w:w="820" w:type="pct"/>
            <w:shd w:val="clear" w:color="auto" w:fill="E7E6E6" w:themeFill="background2"/>
          </w:tcPr>
          <w:p w14:paraId="78A11310" w14:textId="77777777" w:rsidR="00EE026C" w:rsidRPr="005E2E71" w:rsidRDefault="00EE026C" w:rsidP="00306D52">
            <w:pPr>
              <w:rPr>
                <w:rFonts w:ascii="Arial" w:hAnsi="Arial" w:cs="Arial"/>
                <w:sz w:val="16"/>
                <w:szCs w:val="16"/>
              </w:rPr>
            </w:pPr>
            <w:r w:rsidRPr="005E2E71">
              <w:rPr>
                <w:rFonts w:ascii="Arial" w:hAnsi="Arial" w:cs="Arial"/>
                <w:sz w:val="16"/>
                <w:szCs w:val="16"/>
              </w:rPr>
              <w:t>X</w:t>
            </w:r>
          </w:p>
        </w:tc>
        <w:tc>
          <w:tcPr>
            <w:tcW w:w="953" w:type="pct"/>
            <w:shd w:val="clear" w:color="auto" w:fill="E7E6E6" w:themeFill="background2"/>
          </w:tcPr>
          <w:p w14:paraId="56654C0A" w14:textId="77777777" w:rsidR="00EE026C" w:rsidRPr="005E2E71" w:rsidRDefault="00EE026C" w:rsidP="00306D52">
            <w:pPr>
              <w:rPr>
                <w:rFonts w:ascii="Arial" w:hAnsi="Arial" w:cs="Arial"/>
                <w:sz w:val="16"/>
                <w:szCs w:val="16"/>
              </w:rPr>
            </w:pPr>
            <w:r w:rsidRPr="005E2E71">
              <w:rPr>
                <w:rFonts w:ascii="Arial" w:hAnsi="Arial" w:cs="Arial"/>
                <w:sz w:val="16"/>
                <w:szCs w:val="16"/>
              </w:rPr>
              <w:t>X</w:t>
            </w:r>
          </w:p>
        </w:tc>
      </w:tr>
      <w:tr w:rsidR="00EE026C" w:rsidRPr="005E2E71" w14:paraId="6E1D9170" w14:textId="77777777" w:rsidTr="00306D52">
        <w:tc>
          <w:tcPr>
            <w:tcW w:w="2395" w:type="pct"/>
            <w:vMerge/>
            <w:shd w:val="clear" w:color="auto" w:fill="auto"/>
          </w:tcPr>
          <w:p w14:paraId="65A8582D" w14:textId="77777777" w:rsidR="00EE026C" w:rsidRPr="005E2E71" w:rsidRDefault="00EE026C" w:rsidP="00306D52">
            <w:pPr>
              <w:rPr>
                <w:rFonts w:ascii="Arial" w:hAnsi="Arial" w:cs="Arial"/>
              </w:rPr>
            </w:pPr>
          </w:p>
        </w:tc>
        <w:tc>
          <w:tcPr>
            <w:tcW w:w="832" w:type="pct"/>
            <w:shd w:val="clear" w:color="auto" w:fill="auto"/>
          </w:tcPr>
          <w:p w14:paraId="064B9DD4" w14:textId="77777777" w:rsidR="00EE026C" w:rsidRPr="005E2E71" w:rsidRDefault="00EE026C" w:rsidP="00306D52">
            <w:pPr>
              <w:rPr>
                <w:rFonts w:ascii="Arial" w:hAnsi="Arial" w:cs="Arial"/>
                <w:b/>
                <w:bCs/>
                <w:sz w:val="16"/>
                <w:szCs w:val="16"/>
              </w:rPr>
            </w:pPr>
            <w:r w:rsidRPr="005E2E71">
              <w:rPr>
                <w:rFonts w:ascii="Arial" w:hAnsi="Arial" w:cs="Arial"/>
                <w:b/>
                <w:bCs/>
                <w:sz w:val="16"/>
                <w:szCs w:val="16"/>
              </w:rPr>
              <w:t>C2</w:t>
            </w:r>
          </w:p>
        </w:tc>
        <w:tc>
          <w:tcPr>
            <w:tcW w:w="820" w:type="pct"/>
            <w:shd w:val="clear" w:color="auto" w:fill="E7E6E6" w:themeFill="background2"/>
          </w:tcPr>
          <w:p w14:paraId="1DF27B93" w14:textId="77777777" w:rsidR="00EE026C" w:rsidRPr="005E2E71" w:rsidRDefault="00EE026C" w:rsidP="00306D52">
            <w:pPr>
              <w:rPr>
                <w:rFonts w:ascii="Arial" w:hAnsi="Arial" w:cs="Arial"/>
                <w:sz w:val="16"/>
                <w:szCs w:val="16"/>
              </w:rPr>
            </w:pPr>
            <w:r w:rsidRPr="005E2E71">
              <w:rPr>
                <w:rFonts w:ascii="Arial" w:hAnsi="Arial" w:cs="Arial"/>
                <w:sz w:val="16"/>
                <w:szCs w:val="16"/>
              </w:rPr>
              <w:t>X</w:t>
            </w:r>
          </w:p>
        </w:tc>
        <w:tc>
          <w:tcPr>
            <w:tcW w:w="953" w:type="pct"/>
            <w:shd w:val="clear" w:color="auto" w:fill="E7E6E6" w:themeFill="background2"/>
          </w:tcPr>
          <w:p w14:paraId="7A7B7AA9" w14:textId="77777777" w:rsidR="00EE026C" w:rsidRPr="005E2E71" w:rsidRDefault="00EE026C" w:rsidP="00306D52">
            <w:pPr>
              <w:rPr>
                <w:rFonts w:ascii="Arial" w:hAnsi="Arial" w:cs="Arial"/>
                <w:sz w:val="16"/>
                <w:szCs w:val="16"/>
              </w:rPr>
            </w:pPr>
            <w:r w:rsidRPr="005E2E71">
              <w:rPr>
                <w:rFonts w:ascii="Arial" w:hAnsi="Arial" w:cs="Arial"/>
                <w:sz w:val="16"/>
                <w:szCs w:val="16"/>
              </w:rPr>
              <w:t>X</w:t>
            </w:r>
          </w:p>
        </w:tc>
      </w:tr>
      <w:tr w:rsidR="00EE026C" w:rsidRPr="005E2E71" w14:paraId="66C8BAA5" w14:textId="77777777" w:rsidTr="00306D52">
        <w:tc>
          <w:tcPr>
            <w:tcW w:w="2395" w:type="pct"/>
            <w:vMerge/>
            <w:shd w:val="clear" w:color="auto" w:fill="auto"/>
          </w:tcPr>
          <w:p w14:paraId="7F617330" w14:textId="77777777" w:rsidR="00EE026C" w:rsidRPr="005E2E71" w:rsidRDefault="00EE026C" w:rsidP="00306D52">
            <w:pPr>
              <w:rPr>
                <w:rFonts w:ascii="Arial" w:hAnsi="Arial" w:cs="Arial"/>
              </w:rPr>
            </w:pPr>
          </w:p>
        </w:tc>
        <w:tc>
          <w:tcPr>
            <w:tcW w:w="832" w:type="pct"/>
            <w:shd w:val="clear" w:color="auto" w:fill="auto"/>
          </w:tcPr>
          <w:p w14:paraId="588D023B" w14:textId="77777777" w:rsidR="00EE026C" w:rsidRPr="005E2E71" w:rsidRDefault="00EE026C" w:rsidP="00306D52">
            <w:pPr>
              <w:rPr>
                <w:rFonts w:ascii="Arial" w:hAnsi="Arial" w:cs="Arial"/>
                <w:b/>
                <w:bCs/>
                <w:sz w:val="16"/>
                <w:szCs w:val="16"/>
              </w:rPr>
            </w:pPr>
            <w:r w:rsidRPr="005E2E71">
              <w:rPr>
                <w:rFonts w:ascii="Arial" w:hAnsi="Arial" w:cs="Arial"/>
                <w:b/>
                <w:bCs/>
                <w:sz w:val="16"/>
                <w:szCs w:val="16"/>
              </w:rPr>
              <w:t>C3</w:t>
            </w:r>
          </w:p>
        </w:tc>
        <w:tc>
          <w:tcPr>
            <w:tcW w:w="820" w:type="pct"/>
            <w:shd w:val="clear" w:color="auto" w:fill="E7E6E6" w:themeFill="background2"/>
          </w:tcPr>
          <w:p w14:paraId="349B6CC6" w14:textId="77777777" w:rsidR="00EE026C" w:rsidRPr="005E2E71" w:rsidRDefault="00EE026C" w:rsidP="00306D52">
            <w:pPr>
              <w:rPr>
                <w:rFonts w:ascii="Arial" w:hAnsi="Arial" w:cs="Arial"/>
                <w:sz w:val="16"/>
                <w:szCs w:val="16"/>
              </w:rPr>
            </w:pPr>
          </w:p>
        </w:tc>
        <w:tc>
          <w:tcPr>
            <w:tcW w:w="953" w:type="pct"/>
            <w:shd w:val="clear" w:color="auto" w:fill="E7E6E6" w:themeFill="background2"/>
          </w:tcPr>
          <w:p w14:paraId="49A8AB84" w14:textId="77777777" w:rsidR="00EE026C" w:rsidRPr="005E2E71" w:rsidRDefault="00EE026C" w:rsidP="00306D52">
            <w:pPr>
              <w:rPr>
                <w:rFonts w:ascii="Arial" w:hAnsi="Arial" w:cs="Arial"/>
                <w:sz w:val="16"/>
                <w:szCs w:val="16"/>
              </w:rPr>
            </w:pPr>
            <w:r w:rsidRPr="005E2E71">
              <w:rPr>
                <w:rFonts w:ascii="Arial" w:hAnsi="Arial" w:cs="Arial"/>
                <w:sz w:val="16"/>
                <w:szCs w:val="16"/>
              </w:rPr>
              <w:t>X</w:t>
            </w:r>
          </w:p>
        </w:tc>
      </w:tr>
      <w:tr w:rsidR="00EE026C" w:rsidRPr="005E2E71" w14:paraId="5704169C" w14:textId="77777777" w:rsidTr="00306D52">
        <w:tc>
          <w:tcPr>
            <w:tcW w:w="2395" w:type="pct"/>
            <w:vMerge/>
            <w:shd w:val="clear" w:color="auto" w:fill="auto"/>
          </w:tcPr>
          <w:p w14:paraId="3DAD4806" w14:textId="77777777" w:rsidR="00EE026C" w:rsidRPr="005E2E71" w:rsidRDefault="00EE026C" w:rsidP="00306D52">
            <w:pPr>
              <w:rPr>
                <w:rFonts w:ascii="Arial" w:hAnsi="Arial" w:cs="Arial"/>
              </w:rPr>
            </w:pPr>
          </w:p>
        </w:tc>
        <w:tc>
          <w:tcPr>
            <w:tcW w:w="832" w:type="pct"/>
            <w:shd w:val="clear" w:color="auto" w:fill="auto"/>
          </w:tcPr>
          <w:p w14:paraId="3BB0E03A" w14:textId="77777777" w:rsidR="00EE026C" w:rsidRPr="005E2E71" w:rsidRDefault="00EE026C" w:rsidP="00306D52">
            <w:pPr>
              <w:rPr>
                <w:rFonts w:ascii="Arial" w:hAnsi="Arial" w:cs="Arial"/>
                <w:b/>
                <w:bCs/>
                <w:sz w:val="16"/>
                <w:szCs w:val="16"/>
              </w:rPr>
            </w:pPr>
            <w:r w:rsidRPr="005E2E71">
              <w:rPr>
                <w:rFonts w:ascii="Arial" w:hAnsi="Arial" w:cs="Arial"/>
                <w:b/>
                <w:bCs/>
                <w:sz w:val="16"/>
                <w:szCs w:val="16"/>
              </w:rPr>
              <w:t>C4</w:t>
            </w:r>
          </w:p>
        </w:tc>
        <w:tc>
          <w:tcPr>
            <w:tcW w:w="820" w:type="pct"/>
            <w:shd w:val="clear" w:color="auto" w:fill="E7E6E6" w:themeFill="background2"/>
          </w:tcPr>
          <w:p w14:paraId="0B96E6F1" w14:textId="77777777" w:rsidR="00EE026C" w:rsidRPr="005E2E71" w:rsidRDefault="00EE026C" w:rsidP="00306D52">
            <w:pPr>
              <w:rPr>
                <w:rFonts w:ascii="Arial" w:hAnsi="Arial" w:cs="Arial"/>
                <w:sz w:val="16"/>
                <w:szCs w:val="16"/>
              </w:rPr>
            </w:pPr>
            <w:r w:rsidRPr="005E2E71">
              <w:rPr>
                <w:rFonts w:ascii="Arial" w:hAnsi="Arial" w:cs="Arial"/>
                <w:sz w:val="16"/>
                <w:szCs w:val="16"/>
              </w:rPr>
              <w:t>X</w:t>
            </w:r>
          </w:p>
        </w:tc>
        <w:tc>
          <w:tcPr>
            <w:tcW w:w="953" w:type="pct"/>
            <w:shd w:val="clear" w:color="auto" w:fill="E7E6E6" w:themeFill="background2"/>
          </w:tcPr>
          <w:p w14:paraId="3726652C" w14:textId="77777777" w:rsidR="00EE026C" w:rsidRPr="005E2E71" w:rsidRDefault="00EE026C" w:rsidP="00306D52">
            <w:pPr>
              <w:rPr>
                <w:rFonts w:ascii="Arial" w:hAnsi="Arial" w:cs="Arial"/>
                <w:sz w:val="16"/>
                <w:szCs w:val="16"/>
              </w:rPr>
            </w:pPr>
            <w:r w:rsidRPr="005E2E71">
              <w:rPr>
                <w:rFonts w:ascii="Arial" w:hAnsi="Arial" w:cs="Arial"/>
                <w:sz w:val="16"/>
                <w:szCs w:val="16"/>
              </w:rPr>
              <w:t>X</w:t>
            </w:r>
          </w:p>
        </w:tc>
      </w:tr>
      <w:tr w:rsidR="00EE026C" w:rsidRPr="005E2E71" w14:paraId="62304F88" w14:textId="77777777" w:rsidTr="00306D52">
        <w:tc>
          <w:tcPr>
            <w:tcW w:w="2395" w:type="pct"/>
            <w:vMerge w:val="restart"/>
            <w:shd w:val="clear" w:color="auto" w:fill="auto"/>
          </w:tcPr>
          <w:p w14:paraId="182ACDCC" w14:textId="77777777" w:rsidR="00EE026C" w:rsidRPr="005E2E71" w:rsidRDefault="00EE026C" w:rsidP="00306D52">
            <w:pPr>
              <w:rPr>
                <w:rFonts w:ascii="Arial" w:hAnsi="Arial" w:cs="Arial"/>
              </w:rPr>
            </w:pPr>
          </w:p>
        </w:tc>
        <w:tc>
          <w:tcPr>
            <w:tcW w:w="832" w:type="pct"/>
            <w:shd w:val="clear" w:color="auto" w:fill="auto"/>
          </w:tcPr>
          <w:p w14:paraId="3D25D464" w14:textId="722F1F1C" w:rsidR="00EE026C" w:rsidRPr="005E2E71" w:rsidRDefault="00EE026C" w:rsidP="00306D52">
            <w:pPr>
              <w:rPr>
                <w:rFonts w:ascii="Arial" w:hAnsi="Arial" w:cs="Arial"/>
                <w:b/>
                <w:bCs/>
                <w:sz w:val="16"/>
                <w:szCs w:val="16"/>
              </w:rPr>
            </w:pPr>
            <w:r w:rsidRPr="005E2E71">
              <w:rPr>
                <w:rFonts w:ascii="Arial" w:hAnsi="Arial" w:cs="Arial"/>
                <w:b/>
                <w:bCs/>
                <w:sz w:val="16"/>
                <w:szCs w:val="16"/>
              </w:rPr>
              <w:t>C5</w:t>
            </w:r>
          </w:p>
        </w:tc>
        <w:tc>
          <w:tcPr>
            <w:tcW w:w="820" w:type="pct"/>
            <w:shd w:val="clear" w:color="auto" w:fill="E7E6E6" w:themeFill="background2"/>
          </w:tcPr>
          <w:p w14:paraId="6F51CC87" w14:textId="77777777" w:rsidR="00EE026C" w:rsidRPr="005E2E71" w:rsidRDefault="00EE026C" w:rsidP="00306D52">
            <w:pPr>
              <w:rPr>
                <w:rFonts w:ascii="Arial" w:hAnsi="Arial" w:cs="Arial"/>
                <w:sz w:val="16"/>
                <w:szCs w:val="16"/>
              </w:rPr>
            </w:pPr>
          </w:p>
        </w:tc>
        <w:tc>
          <w:tcPr>
            <w:tcW w:w="953" w:type="pct"/>
            <w:shd w:val="clear" w:color="auto" w:fill="E7E6E6" w:themeFill="background2"/>
          </w:tcPr>
          <w:p w14:paraId="30204CD5" w14:textId="7838F476" w:rsidR="00EE026C" w:rsidRPr="005E2E71" w:rsidRDefault="00EE026C" w:rsidP="00306D52">
            <w:pPr>
              <w:rPr>
                <w:rFonts w:ascii="Arial" w:hAnsi="Arial" w:cs="Arial"/>
                <w:sz w:val="16"/>
                <w:szCs w:val="16"/>
              </w:rPr>
            </w:pPr>
            <w:r w:rsidRPr="005E2E71">
              <w:rPr>
                <w:rFonts w:ascii="Arial" w:hAnsi="Arial" w:cs="Arial"/>
                <w:sz w:val="16"/>
                <w:szCs w:val="16"/>
              </w:rPr>
              <w:t>X</w:t>
            </w:r>
          </w:p>
        </w:tc>
      </w:tr>
      <w:tr w:rsidR="00EE026C" w:rsidRPr="005E2E71" w14:paraId="55534CFA" w14:textId="77777777" w:rsidTr="00306D52">
        <w:tc>
          <w:tcPr>
            <w:tcW w:w="2395" w:type="pct"/>
            <w:vMerge/>
            <w:shd w:val="clear" w:color="auto" w:fill="auto"/>
          </w:tcPr>
          <w:p w14:paraId="479BD1D2" w14:textId="77777777" w:rsidR="00EE026C" w:rsidRPr="005E2E71" w:rsidRDefault="00EE026C" w:rsidP="00306D52">
            <w:pPr>
              <w:rPr>
                <w:rFonts w:ascii="Arial" w:hAnsi="Arial" w:cs="Arial"/>
              </w:rPr>
            </w:pPr>
          </w:p>
        </w:tc>
        <w:tc>
          <w:tcPr>
            <w:tcW w:w="832" w:type="pct"/>
            <w:shd w:val="clear" w:color="auto" w:fill="auto"/>
          </w:tcPr>
          <w:p w14:paraId="3FCD3277" w14:textId="0D0AF3D5" w:rsidR="00EE026C" w:rsidRPr="005E2E71" w:rsidRDefault="00EE026C" w:rsidP="00306D52">
            <w:pPr>
              <w:rPr>
                <w:rFonts w:ascii="Arial" w:hAnsi="Arial" w:cs="Arial"/>
                <w:b/>
                <w:bCs/>
                <w:sz w:val="16"/>
                <w:szCs w:val="16"/>
              </w:rPr>
            </w:pPr>
            <w:r w:rsidRPr="005E2E71">
              <w:rPr>
                <w:rFonts w:ascii="Arial" w:hAnsi="Arial" w:cs="Arial"/>
                <w:b/>
                <w:bCs/>
                <w:sz w:val="16"/>
                <w:szCs w:val="16"/>
              </w:rPr>
              <w:t>C6</w:t>
            </w:r>
          </w:p>
        </w:tc>
        <w:tc>
          <w:tcPr>
            <w:tcW w:w="820" w:type="pct"/>
            <w:shd w:val="clear" w:color="auto" w:fill="E7E6E6" w:themeFill="background2"/>
          </w:tcPr>
          <w:p w14:paraId="3E15DC84" w14:textId="71E0E72C" w:rsidR="00EE026C" w:rsidRPr="005E2E71" w:rsidRDefault="00EE026C" w:rsidP="00306D52">
            <w:pPr>
              <w:rPr>
                <w:rFonts w:ascii="Arial" w:hAnsi="Arial" w:cs="Arial"/>
                <w:sz w:val="16"/>
                <w:szCs w:val="16"/>
              </w:rPr>
            </w:pPr>
            <w:r w:rsidRPr="005E2E71">
              <w:rPr>
                <w:rFonts w:ascii="Arial" w:hAnsi="Arial" w:cs="Arial"/>
                <w:sz w:val="16"/>
                <w:szCs w:val="16"/>
              </w:rPr>
              <w:t>X</w:t>
            </w:r>
          </w:p>
        </w:tc>
        <w:tc>
          <w:tcPr>
            <w:tcW w:w="953" w:type="pct"/>
            <w:shd w:val="clear" w:color="auto" w:fill="E7E6E6" w:themeFill="background2"/>
          </w:tcPr>
          <w:p w14:paraId="67B99343" w14:textId="3C075B03" w:rsidR="00EE026C" w:rsidRPr="005E2E71" w:rsidRDefault="00EE026C" w:rsidP="00306D52">
            <w:pPr>
              <w:rPr>
                <w:rFonts w:ascii="Arial" w:hAnsi="Arial" w:cs="Arial"/>
                <w:sz w:val="16"/>
                <w:szCs w:val="16"/>
              </w:rPr>
            </w:pPr>
            <w:r w:rsidRPr="005E2E71">
              <w:rPr>
                <w:rFonts w:ascii="Arial" w:hAnsi="Arial" w:cs="Arial"/>
                <w:sz w:val="16"/>
                <w:szCs w:val="16"/>
              </w:rPr>
              <w:t>X</w:t>
            </w:r>
          </w:p>
        </w:tc>
      </w:tr>
      <w:tr w:rsidR="00EE026C" w:rsidRPr="005E2E71" w14:paraId="1B108C99" w14:textId="77777777" w:rsidTr="00306D52">
        <w:tc>
          <w:tcPr>
            <w:tcW w:w="2395" w:type="pct"/>
            <w:vMerge w:val="restart"/>
            <w:shd w:val="clear" w:color="auto" w:fill="auto"/>
          </w:tcPr>
          <w:p w14:paraId="52E43F67" w14:textId="77777777" w:rsidR="00EE026C" w:rsidRPr="005E2E71" w:rsidRDefault="00EE026C" w:rsidP="00306D52">
            <w:pPr>
              <w:rPr>
                <w:rFonts w:ascii="Arial" w:hAnsi="Arial" w:cs="Arial"/>
                <w:b/>
                <w:bCs/>
                <w:sz w:val="16"/>
                <w:szCs w:val="16"/>
              </w:rPr>
            </w:pPr>
            <w:r w:rsidRPr="005E2E71">
              <w:rPr>
                <w:rFonts w:ascii="Arial" w:hAnsi="Arial" w:cs="Arial"/>
                <w:b/>
                <w:bCs/>
                <w:sz w:val="16"/>
                <w:szCs w:val="16"/>
              </w:rPr>
              <w:t>RPS competencies</w:t>
            </w:r>
          </w:p>
        </w:tc>
        <w:tc>
          <w:tcPr>
            <w:tcW w:w="832" w:type="pct"/>
            <w:shd w:val="clear" w:color="auto" w:fill="auto"/>
          </w:tcPr>
          <w:p w14:paraId="19613F5E" w14:textId="77777777" w:rsidR="00EE026C" w:rsidRPr="005E2E71" w:rsidRDefault="00EE026C" w:rsidP="00306D52">
            <w:pPr>
              <w:rPr>
                <w:rFonts w:ascii="Arial" w:hAnsi="Arial" w:cs="Arial"/>
                <w:b/>
                <w:bCs/>
                <w:sz w:val="16"/>
                <w:szCs w:val="16"/>
              </w:rPr>
            </w:pPr>
            <w:r w:rsidRPr="005E2E71">
              <w:rPr>
                <w:rFonts w:ascii="Arial" w:hAnsi="Arial" w:cs="Arial"/>
                <w:b/>
                <w:bCs/>
                <w:sz w:val="16"/>
                <w:szCs w:val="16"/>
              </w:rPr>
              <w:t>1</w:t>
            </w:r>
          </w:p>
        </w:tc>
        <w:tc>
          <w:tcPr>
            <w:tcW w:w="820" w:type="pct"/>
            <w:shd w:val="clear" w:color="auto" w:fill="E7E6E6" w:themeFill="background2"/>
          </w:tcPr>
          <w:p w14:paraId="42C8B0AC" w14:textId="77777777" w:rsidR="00EE026C" w:rsidRPr="005E2E71" w:rsidRDefault="00EE026C" w:rsidP="00306D52">
            <w:pPr>
              <w:rPr>
                <w:rFonts w:ascii="Arial" w:hAnsi="Arial" w:cs="Arial"/>
                <w:sz w:val="16"/>
                <w:szCs w:val="16"/>
              </w:rPr>
            </w:pPr>
            <w:r w:rsidRPr="005E2E71">
              <w:rPr>
                <w:rFonts w:ascii="Arial" w:hAnsi="Arial" w:cs="Arial"/>
                <w:sz w:val="16"/>
                <w:szCs w:val="16"/>
              </w:rPr>
              <w:t>X</w:t>
            </w:r>
          </w:p>
        </w:tc>
        <w:tc>
          <w:tcPr>
            <w:tcW w:w="953" w:type="pct"/>
            <w:shd w:val="clear" w:color="auto" w:fill="E7E6E6" w:themeFill="background2"/>
          </w:tcPr>
          <w:p w14:paraId="282E80D1" w14:textId="77777777" w:rsidR="00EE026C" w:rsidRPr="005E2E71" w:rsidRDefault="00EE026C" w:rsidP="00306D52">
            <w:pPr>
              <w:rPr>
                <w:rFonts w:ascii="Arial" w:hAnsi="Arial" w:cs="Arial"/>
                <w:sz w:val="16"/>
                <w:szCs w:val="16"/>
              </w:rPr>
            </w:pPr>
            <w:r w:rsidRPr="005E2E71">
              <w:rPr>
                <w:rFonts w:ascii="Arial" w:hAnsi="Arial" w:cs="Arial"/>
                <w:sz w:val="16"/>
                <w:szCs w:val="16"/>
              </w:rPr>
              <w:t>X</w:t>
            </w:r>
          </w:p>
        </w:tc>
      </w:tr>
      <w:tr w:rsidR="00EE026C" w:rsidRPr="00794576" w14:paraId="06FA3062" w14:textId="77777777" w:rsidTr="00306D52">
        <w:tc>
          <w:tcPr>
            <w:tcW w:w="2395" w:type="pct"/>
            <w:vMerge/>
            <w:shd w:val="clear" w:color="auto" w:fill="auto"/>
          </w:tcPr>
          <w:p w14:paraId="64EE85AC" w14:textId="77777777" w:rsidR="00EE026C" w:rsidRPr="005E2E71" w:rsidRDefault="00EE026C" w:rsidP="00306D52">
            <w:pPr>
              <w:rPr>
                <w:rFonts w:ascii="Arial" w:hAnsi="Arial" w:cs="Arial"/>
                <w:b/>
                <w:bCs/>
                <w:sz w:val="16"/>
                <w:szCs w:val="16"/>
              </w:rPr>
            </w:pPr>
          </w:p>
        </w:tc>
        <w:tc>
          <w:tcPr>
            <w:tcW w:w="832" w:type="pct"/>
            <w:shd w:val="clear" w:color="auto" w:fill="auto"/>
          </w:tcPr>
          <w:p w14:paraId="2D8B0B40" w14:textId="77777777" w:rsidR="00EE026C" w:rsidRPr="005E2E71" w:rsidRDefault="00EE026C" w:rsidP="00306D52">
            <w:pPr>
              <w:rPr>
                <w:rFonts w:ascii="Arial" w:hAnsi="Arial" w:cs="Arial"/>
                <w:b/>
                <w:bCs/>
                <w:sz w:val="16"/>
                <w:szCs w:val="16"/>
              </w:rPr>
            </w:pPr>
            <w:r w:rsidRPr="005E2E71">
              <w:rPr>
                <w:rFonts w:ascii="Arial" w:hAnsi="Arial" w:cs="Arial"/>
                <w:b/>
                <w:bCs/>
                <w:sz w:val="16"/>
                <w:szCs w:val="16"/>
              </w:rPr>
              <w:t>2-10</w:t>
            </w:r>
          </w:p>
        </w:tc>
        <w:tc>
          <w:tcPr>
            <w:tcW w:w="820" w:type="pct"/>
            <w:shd w:val="clear" w:color="auto" w:fill="E7E6E6" w:themeFill="background2"/>
          </w:tcPr>
          <w:p w14:paraId="4A3B6214" w14:textId="77777777" w:rsidR="00EE026C" w:rsidRPr="005E2E71" w:rsidRDefault="00EE026C" w:rsidP="00306D52">
            <w:pPr>
              <w:rPr>
                <w:rFonts w:ascii="Arial" w:hAnsi="Arial" w:cs="Arial"/>
                <w:sz w:val="16"/>
                <w:szCs w:val="16"/>
              </w:rPr>
            </w:pPr>
          </w:p>
        </w:tc>
        <w:tc>
          <w:tcPr>
            <w:tcW w:w="953" w:type="pct"/>
            <w:shd w:val="clear" w:color="auto" w:fill="E7E6E6" w:themeFill="background2"/>
          </w:tcPr>
          <w:p w14:paraId="632E6C36" w14:textId="77777777" w:rsidR="00EE026C" w:rsidRPr="00794576" w:rsidRDefault="00EE026C" w:rsidP="00306D52">
            <w:pPr>
              <w:rPr>
                <w:rFonts w:ascii="Arial" w:hAnsi="Arial" w:cs="Arial"/>
                <w:sz w:val="16"/>
                <w:szCs w:val="16"/>
              </w:rPr>
            </w:pPr>
            <w:r w:rsidRPr="005E2E71">
              <w:rPr>
                <w:rFonts w:ascii="Arial" w:hAnsi="Arial" w:cs="Arial"/>
                <w:sz w:val="16"/>
                <w:szCs w:val="16"/>
              </w:rPr>
              <w:t>X</w:t>
            </w:r>
          </w:p>
        </w:tc>
      </w:tr>
    </w:tbl>
    <w:p w14:paraId="471ECE22" w14:textId="77777777" w:rsidR="00EE026C" w:rsidRPr="00A65EB0" w:rsidRDefault="00EE026C" w:rsidP="00EE026C">
      <w:pPr>
        <w:rPr>
          <w:rFonts w:ascii="Arial" w:hAnsi="Arial" w:cs="Arial"/>
          <w:sz w:val="22"/>
          <w:szCs w:val="22"/>
        </w:rPr>
      </w:pPr>
    </w:p>
    <w:p w14:paraId="1607AED8" w14:textId="77777777" w:rsidR="00A65EB0" w:rsidRPr="00A65EB0" w:rsidRDefault="00A65EB0" w:rsidP="00FD15AB">
      <w:pPr>
        <w:rPr>
          <w:rFonts w:ascii="Arial" w:hAnsi="Arial" w:cs="Arial"/>
          <w:sz w:val="22"/>
          <w:szCs w:val="22"/>
        </w:rPr>
      </w:pPr>
    </w:p>
    <w:sectPr w:rsidR="00A65EB0" w:rsidRPr="00A65EB0"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6DAF" w14:textId="77777777" w:rsidR="00342337" w:rsidRDefault="00342337">
      <w:r>
        <w:separator/>
      </w:r>
    </w:p>
  </w:endnote>
  <w:endnote w:type="continuationSeparator" w:id="0">
    <w:p w14:paraId="4759AFDA" w14:textId="77777777" w:rsidR="00342337" w:rsidRDefault="0034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FA4002A"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4007F">
      <w:rPr>
        <w:rFonts w:ascii="Arial" w:hAnsi="Arial" w:cs="Arial"/>
        <w:sz w:val="16"/>
        <w:szCs w:val="16"/>
      </w:rPr>
      <w:t>20</w:t>
    </w:r>
    <w:r w:rsidR="00592EFC">
      <w:rPr>
        <w:rFonts w:ascii="Arial" w:hAnsi="Arial" w:cs="Arial"/>
        <w:sz w:val="16"/>
        <w:szCs w:val="16"/>
      </w:rPr>
      <w:t>21</w:t>
    </w:r>
    <w:r w:rsidR="00A4007F">
      <w:rPr>
        <w:rFonts w:ascii="Arial" w:hAnsi="Arial" w:cs="Arial"/>
        <w:sz w:val="16"/>
        <w:szCs w:val="16"/>
      </w:rPr>
      <w:t>-202</w:t>
    </w:r>
    <w:r w:rsidR="00592EFC">
      <w:rPr>
        <w:rFonts w:ascii="Arial" w:hAnsi="Arial" w:cs="Arial"/>
        <w:sz w:val="16"/>
        <w:szCs w:val="16"/>
      </w:rPr>
      <w:t>2</w:t>
    </w:r>
    <w:r w:rsidR="00A4007F">
      <w:rPr>
        <w:rFonts w:ascii="Arial" w:hAnsi="Arial" w:cs="Arial"/>
        <w:sz w:val="16"/>
        <w:szCs w:val="16"/>
      </w:rPr>
      <w:t xml:space="preserve"> (v</w:t>
    </w:r>
    <w:r w:rsidR="00592EFC">
      <w:rPr>
        <w:rFonts w:ascii="Arial" w:hAnsi="Arial" w:cs="Arial"/>
        <w:sz w:val="16"/>
        <w:szCs w:val="16"/>
      </w:rPr>
      <w:t>2 December 2021</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45BA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45BA7">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EF2880" w:rsidP="00363792">
    <w:pPr>
      <w:pStyle w:val="Footer"/>
    </w:pPr>
  </w:p>
  <w:p w14:paraId="08CD2A46" w14:textId="77777777" w:rsidR="00DA2044" w:rsidRPr="00165D50" w:rsidRDefault="00EF2880"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970B" w14:textId="77777777" w:rsidR="00342337" w:rsidRDefault="00342337">
      <w:r>
        <w:separator/>
      </w:r>
    </w:p>
  </w:footnote>
  <w:footnote w:type="continuationSeparator" w:id="0">
    <w:p w14:paraId="1954EC70" w14:textId="77777777" w:rsidR="00342337" w:rsidRDefault="00342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F44"/>
    <w:multiLevelType w:val="hybridMultilevel"/>
    <w:tmpl w:val="3F0072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6C3FAD"/>
    <w:multiLevelType w:val="hybridMultilevel"/>
    <w:tmpl w:val="5DC60D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BA3F7D"/>
    <w:multiLevelType w:val="hybridMultilevel"/>
    <w:tmpl w:val="E4BED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811AF5"/>
    <w:multiLevelType w:val="hybridMultilevel"/>
    <w:tmpl w:val="DBF4BC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91624D"/>
    <w:multiLevelType w:val="hybridMultilevel"/>
    <w:tmpl w:val="BED0E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D6623D"/>
    <w:multiLevelType w:val="hybridMultilevel"/>
    <w:tmpl w:val="228E1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9AC7FAF"/>
    <w:multiLevelType w:val="hybridMultilevel"/>
    <w:tmpl w:val="47C2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A705C2"/>
    <w:multiLevelType w:val="hybridMultilevel"/>
    <w:tmpl w:val="4AE22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0"/>
  </w:num>
  <w:num w:numId="6">
    <w:abstractNumId w:val="3"/>
  </w:num>
  <w:num w:numId="7">
    <w:abstractNumId w:val="9"/>
  </w:num>
  <w:num w:numId="8">
    <w:abstractNumId w:val="1"/>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339D"/>
    <w:rsid w:val="000159FD"/>
    <w:rsid w:val="00026E9C"/>
    <w:rsid w:val="000458ED"/>
    <w:rsid w:val="000573A7"/>
    <w:rsid w:val="0006194C"/>
    <w:rsid w:val="00073713"/>
    <w:rsid w:val="000765B1"/>
    <w:rsid w:val="000812E7"/>
    <w:rsid w:val="0008188D"/>
    <w:rsid w:val="00091859"/>
    <w:rsid w:val="000A1163"/>
    <w:rsid w:val="000B3320"/>
    <w:rsid w:val="000B737F"/>
    <w:rsid w:val="000B7490"/>
    <w:rsid w:val="000D78FA"/>
    <w:rsid w:val="000F7786"/>
    <w:rsid w:val="00126995"/>
    <w:rsid w:val="0013282A"/>
    <w:rsid w:val="00143560"/>
    <w:rsid w:val="00151C14"/>
    <w:rsid w:val="001710BF"/>
    <w:rsid w:val="0018418B"/>
    <w:rsid w:val="001948FF"/>
    <w:rsid w:val="001B7007"/>
    <w:rsid w:val="001C3C39"/>
    <w:rsid w:val="001F312D"/>
    <w:rsid w:val="00202C1C"/>
    <w:rsid w:val="00212759"/>
    <w:rsid w:val="00225D4E"/>
    <w:rsid w:val="00265477"/>
    <w:rsid w:val="00270B8C"/>
    <w:rsid w:val="00280F96"/>
    <w:rsid w:val="00282379"/>
    <w:rsid w:val="00287A50"/>
    <w:rsid w:val="00292F31"/>
    <w:rsid w:val="002A2012"/>
    <w:rsid w:val="002A4E21"/>
    <w:rsid w:val="002C6F24"/>
    <w:rsid w:val="002D0D79"/>
    <w:rsid w:val="002D42DF"/>
    <w:rsid w:val="002E607D"/>
    <w:rsid w:val="00305FB8"/>
    <w:rsid w:val="00313620"/>
    <w:rsid w:val="0032490B"/>
    <w:rsid w:val="0033432A"/>
    <w:rsid w:val="00342337"/>
    <w:rsid w:val="00363490"/>
    <w:rsid w:val="0036736B"/>
    <w:rsid w:val="003674E3"/>
    <w:rsid w:val="00377E4D"/>
    <w:rsid w:val="003A37D3"/>
    <w:rsid w:val="003B6F9A"/>
    <w:rsid w:val="003C28B6"/>
    <w:rsid w:val="003C7CC6"/>
    <w:rsid w:val="003D22E3"/>
    <w:rsid w:val="003D24A8"/>
    <w:rsid w:val="003E7D4C"/>
    <w:rsid w:val="003F6436"/>
    <w:rsid w:val="0040502A"/>
    <w:rsid w:val="00421EB8"/>
    <w:rsid w:val="00422EFC"/>
    <w:rsid w:val="00445272"/>
    <w:rsid w:val="00465419"/>
    <w:rsid w:val="004766FC"/>
    <w:rsid w:val="00480EE4"/>
    <w:rsid w:val="004830A8"/>
    <w:rsid w:val="00483143"/>
    <w:rsid w:val="004B26A1"/>
    <w:rsid w:val="004C524F"/>
    <w:rsid w:val="004D5D7B"/>
    <w:rsid w:val="004E73A7"/>
    <w:rsid w:val="0050479A"/>
    <w:rsid w:val="00522CA8"/>
    <w:rsid w:val="00530C7D"/>
    <w:rsid w:val="005406ED"/>
    <w:rsid w:val="005500EB"/>
    <w:rsid w:val="00552E89"/>
    <w:rsid w:val="00571EBC"/>
    <w:rsid w:val="0057245E"/>
    <w:rsid w:val="00592EFC"/>
    <w:rsid w:val="005B12BF"/>
    <w:rsid w:val="005B3EBB"/>
    <w:rsid w:val="005C2FF6"/>
    <w:rsid w:val="005C71F6"/>
    <w:rsid w:val="005E2E71"/>
    <w:rsid w:val="005E45A5"/>
    <w:rsid w:val="005F1A8D"/>
    <w:rsid w:val="005F1BF8"/>
    <w:rsid w:val="005F7170"/>
    <w:rsid w:val="00601D80"/>
    <w:rsid w:val="00602D5F"/>
    <w:rsid w:val="0060343F"/>
    <w:rsid w:val="00632786"/>
    <w:rsid w:val="006349BF"/>
    <w:rsid w:val="00647F69"/>
    <w:rsid w:val="006534F8"/>
    <w:rsid w:val="00660242"/>
    <w:rsid w:val="006717E7"/>
    <w:rsid w:val="006719D8"/>
    <w:rsid w:val="00687B21"/>
    <w:rsid w:val="00691F56"/>
    <w:rsid w:val="006940F9"/>
    <w:rsid w:val="006C056E"/>
    <w:rsid w:val="006C307E"/>
    <w:rsid w:val="006C5237"/>
    <w:rsid w:val="006E1AAE"/>
    <w:rsid w:val="006E5350"/>
    <w:rsid w:val="007071F0"/>
    <w:rsid w:val="00711AC4"/>
    <w:rsid w:val="00713036"/>
    <w:rsid w:val="00723B07"/>
    <w:rsid w:val="00745D3E"/>
    <w:rsid w:val="00771ACB"/>
    <w:rsid w:val="007B3828"/>
    <w:rsid w:val="007B4B14"/>
    <w:rsid w:val="007D3F85"/>
    <w:rsid w:val="007E4959"/>
    <w:rsid w:val="007F536F"/>
    <w:rsid w:val="00800570"/>
    <w:rsid w:val="0080104D"/>
    <w:rsid w:val="00822508"/>
    <w:rsid w:val="008276A9"/>
    <w:rsid w:val="00833E23"/>
    <w:rsid w:val="008431C8"/>
    <w:rsid w:val="00845BA7"/>
    <w:rsid w:val="00856462"/>
    <w:rsid w:val="00861AAE"/>
    <w:rsid w:val="008678F7"/>
    <w:rsid w:val="0087283F"/>
    <w:rsid w:val="0089063E"/>
    <w:rsid w:val="008911DC"/>
    <w:rsid w:val="008A37AC"/>
    <w:rsid w:val="008A7775"/>
    <w:rsid w:val="008B70C1"/>
    <w:rsid w:val="008C44B5"/>
    <w:rsid w:val="008D1F34"/>
    <w:rsid w:val="008D5A55"/>
    <w:rsid w:val="008E04BE"/>
    <w:rsid w:val="008F5E09"/>
    <w:rsid w:val="00907BB6"/>
    <w:rsid w:val="00933083"/>
    <w:rsid w:val="00933601"/>
    <w:rsid w:val="00937A5F"/>
    <w:rsid w:val="00941A20"/>
    <w:rsid w:val="00955541"/>
    <w:rsid w:val="0096236C"/>
    <w:rsid w:val="009637E0"/>
    <w:rsid w:val="00970D87"/>
    <w:rsid w:val="00984922"/>
    <w:rsid w:val="009A4B3E"/>
    <w:rsid w:val="009A5510"/>
    <w:rsid w:val="009A64EC"/>
    <w:rsid w:val="009C2E90"/>
    <w:rsid w:val="009C5334"/>
    <w:rsid w:val="009C6662"/>
    <w:rsid w:val="009D2445"/>
    <w:rsid w:val="009D593E"/>
    <w:rsid w:val="00A05406"/>
    <w:rsid w:val="00A17205"/>
    <w:rsid w:val="00A27EFB"/>
    <w:rsid w:val="00A33E00"/>
    <w:rsid w:val="00A37C44"/>
    <w:rsid w:val="00A4007F"/>
    <w:rsid w:val="00A44D31"/>
    <w:rsid w:val="00A463AD"/>
    <w:rsid w:val="00A5317C"/>
    <w:rsid w:val="00A65EB0"/>
    <w:rsid w:val="00A71D7D"/>
    <w:rsid w:val="00A756B7"/>
    <w:rsid w:val="00A82405"/>
    <w:rsid w:val="00A83F9F"/>
    <w:rsid w:val="00A85EF1"/>
    <w:rsid w:val="00A92C9B"/>
    <w:rsid w:val="00AA401E"/>
    <w:rsid w:val="00AC1C24"/>
    <w:rsid w:val="00AC3209"/>
    <w:rsid w:val="00AD2E99"/>
    <w:rsid w:val="00AE047C"/>
    <w:rsid w:val="00AE2549"/>
    <w:rsid w:val="00AE3DE3"/>
    <w:rsid w:val="00B059EA"/>
    <w:rsid w:val="00B10AFF"/>
    <w:rsid w:val="00B31CD0"/>
    <w:rsid w:val="00B44C3D"/>
    <w:rsid w:val="00B53232"/>
    <w:rsid w:val="00B607E4"/>
    <w:rsid w:val="00B642FC"/>
    <w:rsid w:val="00B81AC1"/>
    <w:rsid w:val="00B857E3"/>
    <w:rsid w:val="00B9370A"/>
    <w:rsid w:val="00B95B3A"/>
    <w:rsid w:val="00BB36D9"/>
    <w:rsid w:val="00BB42A8"/>
    <w:rsid w:val="00BD3B8A"/>
    <w:rsid w:val="00BD537A"/>
    <w:rsid w:val="00BD59B5"/>
    <w:rsid w:val="00BD5DDE"/>
    <w:rsid w:val="00BE3E97"/>
    <w:rsid w:val="00BF1022"/>
    <w:rsid w:val="00BF33C1"/>
    <w:rsid w:val="00C1132C"/>
    <w:rsid w:val="00C12F59"/>
    <w:rsid w:val="00C1388B"/>
    <w:rsid w:val="00C27AF1"/>
    <w:rsid w:val="00C447A7"/>
    <w:rsid w:val="00C50F45"/>
    <w:rsid w:val="00C70212"/>
    <w:rsid w:val="00C73B6E"/>
    <w:rsid w:val="00C750EF"/>
    <w:rsid w:val="00C82944"/>
    <w:rsid w:val="00C91F9A"/>
    <w:rsid w:val="00CA2672"/>
    <w:rsid w:val="00CB6A74"/>
    <w:rsid w:val="00CE5B29"/>
    <w:rsid w:val="00CF1F2C"/>
    <w:rsid w:val="00CF31F5"/>
    <w:rsid w:val="00D0619A"/>
    <w:rsid w:val="00D07A8A"/>
    <w:rsid w:val="00D20B1E"/>
    <w:rsid w:val="00D358D3"/>
    <w:rsid w:val="00D41545"/>
    <w:rsid w:val="00D41C44"/>
    <w:rsid w:val="00D46F7C"/>
    <w:rsid w:val="00D6172D"/>
    <w:rsid w:val="00D64B62"/>
    <w:rsid w:val="00D72C5F"/>
    <w:rsid w:val="00D83249"/>
    <w:rsid w:val="00D83ECA"/>
    <w:rsid w:val="00D930B6"/>
    <w:rsid w:val="00D94FB6"/>
    <w:rsid w:val="00DA4001"/>
    <w:rsid w:val="00DB05E5"/>
    <w:rsid w:val="00DB58F2"/>
    <w:rsid w:val="00DC198B"/>
    <w:rsid w:val="00DC5DD7"/>
    <w:rsid w:val="00DF2EED"/>
    <w:rsid w:val="00DF50D4"/>
    <w:rsid w:val="00E0238F"/>
    <w:rsid w:val="00E10C13"/>
    <w:rsid w:val="00E13EB7"/>
    <w:rsid w:val="00E15DC2"/>
    <w:rsid w:val="00E1750E"/>
    <w:rsid w:val="00E27F07"/>
    <w:rsid w:val="00E52B20"/>
    <w:rsid w:val="00E537E3"/>
    <w:rsid w:val="00E57B76"/>
    <w:rsid w:val="00E608A0"/>
    <w:rsid w:val="00E6237C"/>
    <w:rsid w:val="00E71517"/>
    <w:rsid w:val="00E805CD"/>
    <w:rsid w:val="00E82FC1"/>
    <w:rsid w:val="00E86F87"/>
    <w:rsid w:val="00E9131F"/>
    <w:rsid w:val="00E93650"/>
    <w:rsid w:val="00E964A4"/>
    <w:rsid w:val="00EA46B5"/>
    <w:rsid w:val="00EB0012"/>
    <w:rsid w:val="00EC0856"/>
    <w:rsid w:val="00EE026C"/>
    <w:rsid w:val="00EE4B2E"/>
    <w:rsid w:val="00EF132A"/>
    <w:rsid w:val="00EF2880"/>
    <w:rsid w:val="00F035F6"/>
    <w:rsid w:val="00F04905"/>
    <w:rsid w:val="00F44B2A"/>
    <w:rsid w:val="00F70708"/>
    <w:rsid w:val="00F73099"/>
    <w:rsid w:val="00F809C1"/>
    <w:rsid w:val="00FD143F"/>
    <w:rsid w:val="00FD15AB"/>
    <w:rsid w:val="00FD4FC2"/>
    <w:rsid w:val="00FE1132"/>
    <w:rsid w:val="00FE5D2D"/>
    <w:rsid w:val="00FF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88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D15AB"/>
    <w:rPr>
      <w:color w:val="605E5C"/>
      <w:shd w:val="clear" w:color="auto" w:fill="E1DFDD"/>
    </w:rPr>
  </w:style>
  <w:style w:type="table" w:customStyle="1" w:styleId="TableGrid2">
    <w:name w:val="Table Grid2"/>
    <w:basedOn w:val="TableNormal"/>
    <w:next w:val="TableGrid"/>
    <w:uiPriority w:val="39"/>
    <w:rsid w:val="000B7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7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89288">
      <w:bodyDiv w:val="1"/>
      <w:marLeft w:val="0"/>
      <w:marRight w:val="0"/>
      <w:marTop w:val="0"/>
      <w:marBottom w:val="0"/>
      <w:divBdr>
        <w:top w:val="none" w:sz="0" w:space="0" w:color="auto"/>
        <w:left w:val="none" w:sz="0" w:space="0" w:color="auto"/>
        <w:bottom w:val="none" w:sz="0" w:space="0" w:color="auto"/>
        <w:right w:val="none" w:sz="0" w:space="0" w:color="auto"/>
      </w:divBdr>
      <w:divsChild>
        <w:div w:id="1061054938">
          <w:marLeft w:val="0"/>
          <w:marRight w:val="0"/>
          <w:marTop w:val="0"/>
          <w:marBottom w:val="0"/>
          <w:divBdr>
            <w:top w:val="none" w:sz="0" w:space="0" w:color="auto"/>
            <w:left w:val="none" w:sz="0" w:space="0" w:color="auto"/>
            <w:bottom w:val="none" w:sz="0" w:space="0" w:color="auto"/>
            <w:right w:val="none" w:sz="0" w:space="0" w:color="auto"/>
          </w:divBdr>
          <w:divsChild>
            <w:div w:id="362026230">
              <w:marLeft w:val="0"/>
              <w:marRight w:val="0"/>
              <w:marTop w:val="0"/>
              <w:marBottom w:val="0"/>
              <w:divBdr>
                <w:top w:val="none" w:sz="0" w:space="0" w:color="auto"/>
                <w:left w:val="none" w:sz="0" w:space="0" w:color="auto"/>
                <w:bottom w:val="none" w:sz="0" w:space="0" w:color="auto"/>
                <w:right w:val="none" w:sz="0" w:space="0" w:color="auto"/>
              </w:divBdr>
            </w:div>
          </w:divsChild>
        </w:div>
        <w:div w:id="27223468">
          <w:marLeft w:val="0"/>
          <w:marRight w:val="0"/>
          <w:marTop w:val="0"/>
          <w:marBottom w:val="0"/>
          <w:divBdr>
            <w:top w:val="none" w:sz="0" w:space="0" w:color="auto"/>
            <w:left w:val="none" w:sz="0" w:space="0" w:color="auto"/>
            <w:bottom w:val="none" w:sz="0" w:space="0" w:color="auto"/>
            <w:right w:val="none" w:sz="0" w:space="0" w:color="auto"/>
          </w:divBdr>
          <w:divsChild>
            <w:div w:id="17002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4132">
      <w:bodyDiv w:val="1"/>
      <w:marLeft w:val="0"/>
      <w:marRight w:val="0"/>
      <w:marTop w:val="0"/>
      <w:marBottom w:val="0"/>
      <w:divBdr>
        <w:top w:val="none" w:sz="0" w:space="0" w:color="auto"/>
        <w:left w:val="none" w:sz="0" w:space="0" w:color="auto"/>
        <w:bottom w:val="none" w:sz="0" w:space="0" w:color="auto"/>
        <w:right w:val="none" w:sz="0" w:space="0" w:color="auto"/>
      </w:divBdr>
      <w:divsChild>
        <w:div w:id="616374587">
          <w:marLeft w:val="0"/>
          <w:marRight w:val="0"/>
          <w:marTop w:val="0"/>
          <w:marBottom w:val="0"/>
          <w:divBdr>
            <w:top w:val="none" w:sz="0" w:space="0" w:color="auto"/>
            <w:left w:val="none" w:sz="0" w:space="0" w:color="auto"/>
            <w:bottom w:val="none" w:sz="0" w:space="0" w:color="auto"/>
            <w:right w:val="none" w:sz="0" w:space="0" w:color="auto"/>
          </w:divBdr>
          <w:divsChild>
            <w:div w:id="1093934520">
              <w:marLeft w:val="0"/>
              <w:marRight w:val="0"/>
              <w:marTop w:val="0"/>
              <w:marBottom w:val="0"/>
              <w:divBdr>
                <w:top w:val="none" w:sz="0" w:space="0" w:color="auto"/>
                <w:left w:val="none" w:sz="0" w:space="0" w:color="auto"/>
                <w:bottom w:val="none" w:sz="0" w:space="0" w:color="auto"/>
                <w:right w:val="none" w:sz="0" w:space="0" w:color="auto"/>
              </w:divBdr>
            </w:div>
          </w:divsChild>
        </w:div>
        <w:div w:id="128978013">
          <w:marLeft w:val="0"/>
          <w:marRight w:val="0"/>
          <w:marTop w:val="0"/>
          <w:marBottom w:val="0"/>
          <w:divBdr>
            <w:top w:val="none" w:sz="0" w:space="0" w:color="auto"/>
            <w:left w:val="none" w:sz="0" w:space="0" w:color="auto"/>
            <w:bottom w:val="none" w:sz="0" w:space="0" w:color="auto"/>
            <w:right w:val="none" w:sz="0" w:space="0" w:color="auto"/>
          </w:divBdr>
          <w:divsChild>
            <w:div w:id="17873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yperlink" Target="https://www.nmc.org.uk/globalassets/sitedocuments/education-standards/programme-standards-prescribing.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www.nmc.org.uk/globalassets/sitedocuments/education-standards/student-supervision-assessment.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rpharms.com/Portals/0/RPS%20document%20library/Open%20access/Professional%20standards/DPP%20Framework/DPP%20competency%20framework%20Dec%20201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hyperlink" Target="https://www.rpharms.com/Portals/0/RPS%20document%20library/Open%20access/Prescribing%20Competency%20Framework/RPS%20English%20Competency%20Framework%203.pdf?ver=mctnrKo4YaJDh2nA8N5G3A%3d%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561682-74C2-4246-B9A2-794A5B6E4C65}"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en-GB"/>
        </a:p>
      </dgm:t>
    </dgm:pt>
    <dgm:pt modelId="{310971CC-4F62-4C48-891D-161982B8CCB4}">
      <dgm:prSet phldrT="[Text]"/>
      <dgm:spPr>
        <a:xfrm>
          <a:off x="2138" y="223018"/>
          <a:ext cx="2199900" cy="5499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Students accessing PG Cert  Independent/ Supplementary Prescribing for Nuses and Midwives </a:t>
          </a:r>
        </a:p>
      </dgm:t>
    </dgm:pt>
    <dgm:pt modelId="{2CCCA79E-E387-4F21-BE23-D072BBE234C4}" type="parTrans" cxnId="{010C3ADF-BEA0-4DE1-AB66-609287E6AD26}">
      <dgm:prSet/>
      <dgm:spPr/>
      <dgm:t>
        <a:bodyPr/>
        <a:lstStyle/>
        <a:p>
          <a:endParaRPr lang="en-GB"/>
        </a:p>
      </dgm:t>
    </dgm:pt>
    <dgm:pt modelId="{00418D58-1CB6-4EEE-BB45-E48A3B5D42B7}" type="sibTrans" cxnId="{010C3ADF-BEA0-4DE1-AB66-609287E6AD26}">
      <dgm:prSet/>
      <dgm:spPr/>
      <dgm:t>
        <a:bodyPr/>
        <a:lstStyle/>
        <a:p>
          <a:endParaRPr lang="en-GB"/>
        </a:p>
      </dgm:t>
    </dgm:pt>
    <dgm:pt modelId="{D938241E-E974-43E3-B0F4-DA3401125828}">
      <dgm:prSet phldrT="[Text]"/>
      <dgm:spPr>
        <a:xfrm>
          <a:off x="2138" y="965484"/>
          <a:ext cx="2199900" cy="549975"/>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Completion of  ACRHA or equivalent 30 credits level 7 certificated learning (RP(C)L)</a:t>
          </a:r>
        </a:p>
      </dgm:t>
    </dgm:pt>
    <dgm:pt modelId="{010AAECB-4E2D-433D-B3CB-9A2DDADEE310}" type="parTrans" cxnId="{3B0FFCEF-9A7E-48AC-96FE-3C0F8E399DB7}">
      <dgm:prSet/>
      <dgm:spPr>
        <a:xfrm rot="5400000">
          <a:off x="1053965" y="821116"/>
          <a:ext cx="96245" cy="96245"/>
        </a:xfrm>
        <a:prstGeom prst="rightArrow">
          <a:avLst>
            <a:gd name="adj1" fmla="val 66700"/>
            <a:gd name="adj2" fmla="val 50000"/>
          </a:avLst>
        </a:prstGeom>
        <a:solidFill>
          <a:srgbClr val="5B9BD5">
            <a:tint val="60000"/>
            <a:hueOff val="0"/>
            <a:satOff val="0"/>
            <a:lumOff val="0"/>
            <a:alphaOff val="0"/>
          </a:srgbClr>
        </a:solidFill>
        <a:ln>
          <a:noFill/>
        </a:ln>
        <a:effectLst/>
      </dgm:spPr>
      <dgm:t>
        <a:bodyPr/>
        <a:lstStyle/>
        <a:p>
          <a:endParaRPr lang="en-GB"/>
        </a:p>
      </dgm:t>
    </dgm:pt>
    <dgm:pt modelId="{1550A6D1-62E1-4CC5-B260-8C49A4FE9BEE}" type="sibTrans" cxnId="{3B0FFCEF-9A7E-48AC-96FE-3C0F8E399DB7}">
      <dgm:prSet/>
      <dgm:spPr>
        <a:xfrm rot="5400000">
          <a:off x="1053965" y="1563582"/>
          <a:ext cx="96245" cy="96245"/>
        </a:xfrm>
        <a:prstGeom prst="rightArrow">
          <a:avLst>
            <a:gd name="adj1" fmla="val 66700"/>
            <a:gd name="adj2" fmla="val 50000"/>
          </a:avLst>
        </a:prstGeom>
        <a:solidFill>
          <a:srgbClr val="5B9BD5">
            <a:tint val="60000"/>
            <a:hueOff val="0"/>
            <a:satOff val="0"/>
            <a:lumOff val="0"/>
            <a:alphaOff val="0"/>
          </a:srgbClr>
        </a:solidFill>
        <a:ln>
          <a:noFill/>
        </a:ln>
        <a:effectLst/>
      </dgm:spPr>
      <dgm:t>
        <a:bodyPr/>
        <a:lstStyle/>
        <a:p>
          <a:endParaRPr lang="en-GB"/>
        </a:p>
      </dgm:t>
    </dgm:pt>
    <dgm:pt modelId="{3FA37502-1AE5-4206-A614-BB75523E5AEF}">
      <dgm:prSet phldrT="[Text]"/>
      <dgm:spPr>
        <a:xfrm>
          <a:off x="2510024" y="223018"/>
          <a:ext cx="2199900" cy="5499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Students accessing PG Dip/ MSc Healthcare Practice  or Advanced Clinical Practice</a:t>
          </a:r>
        </a:p>
      </dgm:t>
    </dgm:pt>
    <dgm:pt modelId="{AD2C9D44-9195-4CB9-B3B7-8CBCA4EBE968}" type="parTrans" cxnId="{B95B0106-B8F7-41EC-8357-E2BF50970BEB}">
      <dgm:prSet/>
      <dgm:spPr/>
      <dgm:t>
        <a:bodyPr/>
        <a:lstStyle/>
        <a:p>
          <a:endParaRPr lang="en-GB"/>
        </a:p>
      </dgm:t>
    </dgm:pt>
    <dgm:pt modelId="{B4096F4E-3C05-40BC-919B-14C12A1A34E2}" type="sibTrans" cxnId="{B95B0106-B8F7-41EC-8357-E2BF50970BEB}">
      <dgm:prSet/>
      <dgm:spPr/>
      <dgm:t>
        <a:bodyPr/>
        <a:lstStyle/>
        <a:p>
          <a:endParaRPr lang="en-GB"/>
        </a:p>
      </dgm:t>
    </dgm:pt>
    <dgm:pt modelId="{7768072D-954F-4163-B157-3686EB7997F2}">
      <dgm:prSet phldrT="[Text]"/>
      <dgm:spPr>
        <a:xfrm>
          <a:off x="2510024" y="965484"/>
          <a:ext cx="2199900" cy="549975"/>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Completion of ACRHA or equivalent 30 credits level 7 certificated learning (RP(C)L)</a:t>
          </a:r>
        </a:p>
      </dgm:t>
    </dgm:pt>
    <dgm:pt modelId="{658A9DDF-7782-4BF6-94AF-5AFFEE084E98}" type="parTrans" cxnId="{5D11802C-16ED-49A4-9D53-7EEC546D2F18}">
      <dgm:prSet/>
      <dgm:spPr>
        <a:xfrm rot="5400000">
          <a:off x="3561852" y="821116"/>
          <a:ext cx="96245" cy="96245"/>
        </a:xfrm>
        <a:prstGeom prst="rightArrow">
          <a:avLst>
            <a:gd name="adj1" fmla="val 66700"/>
            <a:gd name="adj2" fmla="val 50000"/>
          </a:avLst>
        </a:prstGeom>
        <a:solidFill>
          <a:srgbClr val="5B9BD5">
            <a:tint val="60000"/>
            <a:hueOff val="0"/>
            <a:satOff val="0"/>
            <a:lumOff val="0"/>
            <a:alphaOff val="0"/>
          </a:srgbClr>
        </a:solidFill>
        <a:ln>
          <a:noFill/>
        </a:ln>
        <a:effectLst/>
      </dgm:spPr>
      <dgm:t>
        <a:bodyPr/>
        <a:lstStyle/>
        <a:p>
          <a:endParaRPr lang="en-GB"/>
        </a:p>
      </dgm:t>
    </dgm:pt>
    <dgm:pt modelId="{AFA1638E-A68A-40BB-9B7F-4CCA7BFD8C1F}" type="sibTrans" cxnId="{5D11802C-16ED-49A4-9D53-7EEC546D2F18}">
      <dgm:prSet/>
      <dgm:spPr>
        <a:xfrm rot="5400000">
          <a:off x="3561852" y="1563582"/>
          <a:ext cx="96245" cy="96245"/>
        </a:xfrm>
        <a:prstGeom prst="rightArrow">
          <a:avLst>
            <a:gd name="adj1" fmla="val 66700"/>
            <a:gd name="adj2" fmla="val 50000"/>
          </a:avLst>
        </a:prstGeom>
        <a:solidFill>
          <a:srgbClr val="5B9BD5">
            <a:tint val="60000"/>
            <a:hueOff val="0"/>
            <a:satOff val="0"/>
            <a:lumOff val="0"/>
            <a:alphaOff val="0"/>
          </a:srgbClr>
        </a:solidFill>
        <a:ln>
          <a:noFill/>
        </a:ln>
        <a:effectLst/>
      </dgm:spPr>
      <dgm:t>
        <a:bodyPr/>
        <a:lstStyle/>
        <a:p>
          <a:endParaRPr lang="en-GB"/>
        </a:p>
      </dgm:t>
    </dgm:pt>
    <dgm:pt modelId="{9899F651-6CE3-4AFC-A2F1-63F479A9A40F}">
      <dgm:prSet phldrT="[Text]"/>
      <dgm:spPr>
        <a:xfrm>
          <a:off x="2510024" y="1707951"/>
          <a:ext cx="2199900" cy="549975"/>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Completion of level 7 V300 module leads to eligibility for NMC recognition as a prescriber</a:t>
          </a:r>
        </a:p>
        <a:p>
          <a:pPr>
            <a:buNone/>
          </a:pPr>
          <a:r>
            <a:rPr lang="en-GB">
              <a:solidFill>
                <a:sysClr val="windowText" lastClr="000000">
                  <a:hueOff val="0"/>
                  <a:satOff val="0"/>
                  <a:lumOff val="0"/>
                  <a:alphaOff val="0"/>
                </a:sysClr>
              </a:solidFill>
              <a:latin typeface="Calibri" panose="020F0502020204030204"/>
              <a:ea typeface="+mn-ea"/>
              <a:cs typeface="+mn-cs"/>
            </a:rPr>
            <a:t>ACRHA, or equivalent,  and V300 modules form part of the overacrching  PG Dip/ MSc award</a:t>
          </a:r>
        </a:p>
      </dgm:t>
    </dgm:pt>
    <dgm:pt modelId="{E0D5859E-BDF5-442C-8235-BE41BF921D8E}" type="parTrans" cxnId="{1F947DFA-12E8-4DBF-BF78-2AC23AC94072}">
      <dgm:prSet/>
      <dgm:spPr/>
      <dgm:t>
        <a:bodyPr/>
        <a:lstStyle/>
        <a:p>
          <a:endParaRPr lang="en-GB"/>
        </a:p>
      </dgm:t>
    </dgm:pt>
    <dgm:pt modelId="{C591F775-ED8E-4C2D-9B28-D8C361839268}" type="sibTrans" cxnId="{1F947DFA-12E8-4DBF-BF78-2AC23AC94072}">
      <dgm:prSet/>
      <dgm:spPr/>
      <dgm:t>
        <a:bodyPr/>
        <a:lstStyle/>
        <a:p>
          <a:endParaRPr lang="en-GB"/>
        </a:p>
      </dgm:t>
    </dgm:pt>
    <dgm:pt modelId="{0A315362-365F-4BD6-AD0D-F5C78B8C4D55}">
      <dgm:prSet phldrT="[Text]"/>
      <dgm:spPr>
        <a:xfrm>
          <a:off x="2138" y="1707951"/>
          <a:ext cx="2199900" cy="549975"/>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Completion of level 7 V300 module leads to PG Cert award and eligibility for NMC recognition as a prescriber</a:t>
          </a:r>
        </a:p>
      </dgm:t>
    </dgm:pt>
    <dgm:pt modelId="{DB3D7FCF-2E5B-45DF-940F-0517F9BF2358}" type="parTrans" cxnId="{DDDDCB56-47C1-4A47-B951-3A7CADD094DA}">
      <dgm:prSet/>
      <dgm:spPr/>
      <dgm:t>
        <a:bodyPr/>
        <a:lstStyle/>
        <a:p>
          <a:endParaRPr lang="en-GB"/>
        </a:p>
      </dgm:t>
    </dgm:pt>
    <dgm:pt modelId="{E60516CF-EE54-4FFB-B8D2-1BF4260543CC}" type="sibTrans" cxnId="{DDDDCB56-47C1-4A47-B951-3A7CADD094DA}">
      <dgm:prSet/>
      <dgm:spPr/>
      <dgm:t>
        <a:bodyPr/>
        <a:lstStyle/>
        <a:p>
          <a:endParaRPr lang="en-GB"/>
        </a:p>
      </dgm:t>
    </dgm:pt>
    <dgm:pt modelId="{B689C8E2-710C-41FF-B78F-59AEBBADBBBF}">
      <dgm:prSet phldrT="[Text]"/>
      <dgm:spPr>
        <a:xfrm>
          <a:off x="5017911" y="965484"/>
          <a:ext cx="2199900" cy="549975"/>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Evidence of completion of ACRHA, or equivalent, but does not meet RP (C)L requirements</a:t>
          </a:r>
        </a:p>
      </dgm:t>
    </dgm:pt>
    <dgm:pt modelId="{3010E75C-49E5-48F0-AF9E-6FAE29945BB6}" type="parTrans" cxnId="{0AEC985A-474E-455C-A4C3-642530F0C371}">
      <dgm:prSet/>
      <dgm:spPr>
        <a:xfrm rot="5400000">
          <a:off x="6069738" y="821116"/>
          <a:ext cx="96245" cy="96245"/>
        </a:xfrm>
        <a:prstGeom prst="rightArrow">
          <a:avLst>
            <a:gd name="adj1" fmla="val 66700"/>
            <a:gd name="adj2" fmla="val 50000"/>
          </a:avLst>
        </a:prstGeom>
        <a:solidFill>
          <a:srgbClr val="5B9BD5">
            <a:tint val="60000"/>
            <a:hueOff val="0"/>
            <a:satOff val="0"/>
            <a:lumOff val="0"/>
            <a:alphaOff val="0"/>
          </a:srgbClr>
        </a:solidFill>
        <a:ln>
          <a:noFill/>
        </a:ln>
        <a:effectLst/>
      </dgm:spPr>
      <dgm:t>
        <a:bodyPr/>
        <a:lstStyle/>
        <a:p>
          <a:endParaRPr lang="en-GB"/>
        </a:p>
      </dgm:t>
    </dgm:pt>
    <dgm:pt modelId="{8EA93E01-868C-4F56-BA2B-6F222E40070A}" type="sibTrans" cxnId="{0AEC985A-474E-455C-A4C3-642530F0C371}">
      <dgm:prSet/>
      <dgm:spPr>
        <a:xfrm rot="5400000">
          <a:off x="6069738" y="1563582"/>
          <a:ext cx="96245" cy="96245"/>
        </a:xfrm>
        <a:prstGeom prst="rightArrow">
          <a:avLst>
            <a:gd name="adj1" fmla="val 66700"/>
            <a:gd name="adj2" fmla="val 50000"/>
          </a:avLst>
        </a:prstGeom>
        <a:solidFill>
          <a:srgbClr val="5B9BD5">
            <a:tint val="60000"/>
            <a:hueOff val="0"/>
            <a:satOff val="0"/>
            <a:lumOff val="0"/>
            <a:alphaOff val="0"/>
          </a:srgbClr>
        </a:solidFill>
        <a:ln>
          <a:noFill/>
        </a:ln>
        <a:effectLst/>
      </dgm:spPr>
      <dgm:t>
        <a:bodyPr/>
        <a:lstStyle/>
        <a:p>
          <a:endParaRPr lang="en-GB"/>
        </a:p>
      </dgm:t>
    </dgm:pt>
    <dgm:pt modelId="{E81F0A77-44C7-48D1-8814-155FD9E40A4E}">
      <dgm:prSet phldrT="[Text]"/>
      <dgm:spPr>
        <a:xfrm>
          <a:off x="5017911" y="223018"/>
          <a:ext cx="2199900" cy="5499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Standalone level 7 V300 module students</a:t>
          </a:r>
        </a:p>
      </dgm:t>
    </dgm:pt>
    <dgm:pt modelId="{1D645DFC-8B37-43FD-BC8E-DDFCAF08861E}" type="parTrans" cxnId="{77272C51-6DA3-46DC-9F90-B45D7DB1682A}">
      <dgm:prSet/>
      <dgm:spPr/>
      <dgm:t>
        <a:bodyPr/>
        <a:lstStyle/>
        <a:p>
          <a:endParaRPr lang="en-GB"/>
        </a:p>
      </dgm:t>
    </dgm:pt>
    <dgm:pt modelId="{1901C890-4E53-4695-9E86-C4C6576AC03D}" type="sibTrans" cxnId="{77272C51-6DA3-46DC-9F90-B45D7DB1682A}">
      <dgm:prSet/>
      <dgm:spPr/>
      <dgm:t>
        <a:bodyPr/>
        <a:lstStyle/>
        <a:p>
          <a:endParaRPr lang="en-GB"/>
        </a:p>
      </dgm:t>
    </dgm:pt>
    <dgm:pt modelId="{B8748361-EED6-4164-8C48-5EAAE3E7D684}">
      <dgm:prSet phldrT="[Text]"/>
      <dgm:spPr>
        <a:xfrm>
          <a:off x="5017911" y="1707951"/>
          <a:ext cx="2199900" cy="549975"/>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Completion of level 7 V300 module leads to elegibility for NMC recognition as a prescriber </a:t>
          </a:r>
        </a:p>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EBCEF983-B779-416F-9858-CDBF0D8DEF68}" type="parTrans" cxnId="{954CAABC-F7E7-44AB-84B3-2E5F512E64E7}">
      <dgm:prSet/>
      <dgm:spPr/>
      <dgm:t>
        <a:bodyPr/>
        <a:lstStyle/>
        <a:p>
          <a:endParaRPr lang="en-GB"/>
        </a:p>
      </dgm:t>
    </dgm:pt>
    <dgm:pt modelId="{678FB482-BA30-4A5F-9629-7F2A96442126}" type="sibTrans" cxnId="{954CAABC-F7E7-44AB-84B3-2E5F512E64E7}">
      <dgm:prSet/>
      <dgm:spPr/>
      <dgm:t>
        <a:bodyPr/>
        <a:lstStyle/>
        <a:p>
          <a:endParaRPr lang="en-GB"/>
        </a:p>
      </dgm:t>
    </dgm:pt>
    <dgm:pt modelId="{158AE9E2-3D3F-4C9D-B1CF-97B99C1CA7AD}" type="pres">
      <dgm:prSet presAssocID="{6A561682-74C2-4246-B9A2-794A5B6E4C65}" presName="Name0" presStyleCnt="0">
        <dgm:presLayoutVars>
          <dgm:dir/>
          <dgm:animLvl val="lvl"/>
          <dgm:resizeHandles val="exact"/>
        </dgm:presLayoutVars>
      </dgm:prSet>
      <dgm:spPr/>
    </dgm:pt>
    <dgm:pt modelId="{01A2A299-5AA3-42E3-9F49-056F97A31134}" type="pres">
      <dgm:prSet presAssocID="{310971CC-4F62-4C48-891D-161982B8CCB4}" presName="vertFlow" presStyleCnt="0"/>
      <dgm:spPr/>
    </dgm:pt>
    <dgm:pt modelId="{D3701D94-2923-4D15-83A5-2D63DA1FDFE5}" type="pres">
      <dgm:prSet presAssocID="{310971CC-4F62-4C48-891D-161982B8CCB4}" presName="header" presStyleLbl="node1" presStyleIdx="0" presStyleCnt="3"/>
      <dgm:spPr/>
    </dgm:pt>
    <dgm:pt modelId="{43DCF0EA-297E-4529-8008-C2DF53A1096D}" type="pres">
      <dgm:prSet presAssocID="{010AAECB-4E2D-433D-B3CB-9A2DDADEE310}" presName="parTrans" presStyleLbl="sibTrans2D1" presStyleIdx="0" presStyleCnt="6"/>
      <dgm:spPr/>
    </dgm:pt>
    <dgm:pt modelId="{0CFE3EE0-CA53-44B8-9AD8-02D1C21C7635}" type="pres">
      <dgm:prSet presAssocID="{D938241E-E974-43E3-B0F4-DA3401125828}" presName="child" presStyleLbl="alignAccFollowNode1" presStyleIdx="0" presStyleCnt="6">
        <dgm:presLayoutVars>
          <dgm:chMax val="0"/>
          <dgm:bulletEnabled val="1"/>
        </dgm:presLayoutVars>
      </dgm:prSet>
      <dgm:spPr/>
    </dgm:pt>
    <dgm:pt modelId="{22A481EE-72EF-42DF-A2D9-5816DC456562}" type="pres">
      <dgm:prSet presAssocID="{1550A6D1-62E1-4CC5-B260-8C49A4FE9BEE}" presName="sibTrans" presStyleLbl="sibTrans2D1" presStyleIdx="1" presStyleCnt="6"/>
      <dgm:spPr/>
    </dgm:pt>
    <dgm:pt modelId="{74FF1BAE-362A-46A8-9B4F-F1987BB1CAC0}" type="pres">
      <dgm:prSet presAssocID="{0A315362-365F-4BD6-AD0D-F5C78B8C4D55}" presName="child" presStyleLbl="alignAccFollowNode1" presStyleIdx="1" presStyleCnt="6">
        <dgm:presLayoutVars>
          <dgm:chMax val="0"/>
          <dgm:bulletEnabled val="1"/>
        </dgm:presLayoutVars>
      </dgm:prSet>
      <dgm:spPr/>
    </dgm:pt>
    <dgm:pt modelId="{85668F46-76DB-43A2-96B1-30D7AB7744A4}" type="pres">
      <dgm:prSet presAssocID="{310971CC-4F62-4C48-891D-161982B8CCB4}" presName="hSp" presStyleCnt="0"/>
      <dgm:spPr/>
    </dgm:pt>
    <dgm:pt modelId="{CFC684AF-44C5-4AE3-A167-B4F8E20199A6}" type="pres">
      <dgm:prSet presAssocID="{3FA37502-1AE5-4206-A614-BB75523E5AEF}" presName="vertFlow" presStyleCnt="0"/>
      <dgm:spPr/>
    </dgm:pt>
    <dgm:pt modelId="{E7E99297-F4F4-4BAA-99FA-0B33A6EC6840}" type="pres">
      <dgm:prSet presAssocID="{3FA37502-1AE5-4206-A614-BB75523E5AEF}" presName="header" presStyleLbl="node1" presStyleIdx="1" presStyleCnt="3"/>
      <dgm:spPr/>
    </dgm:pt>
    <dgm:pt modelId="{CAB5CBD4-3CD5-4EDB-90A9-561A089559BC}" type="pres">
      <dgm:prSet presAssocID="{658A9DDF-7782-4BF6-94AF-5AFFEE084E98}" presName="parTrans" presStyleLbl="sibTrans2D1" presStyleIdx="2" presStyleCnt="6"/>
      <dgm:spPr/>
    </dgm:pt>
    <dgm:pt modelId="{4607EC16-E888-44FE-BF4B-DB6F419C2B9A}" type="pres">
      <dgm:prSet presAssocID="{7768072D-954F-4163-B157-3686EB7997F2}" presName="child" presStyleLbl="alignAccFollowNode1" presStyleIdx="2" presStyleCnt="6">
        <dgm:presLayoutVars>
          <dgm:chMax val="0"/>
          <dgm:bulletEnabled val="1"/>
        </dgm:presLayoutVars>
      </dgm:prSet>
      <dgm:spPr/>
    </dgm:pt>
    <dgm:pt modelId="{D8AA959E-885D-4116-9902-80D60EC300E5}" type="pres">
      <dgm:prSet presAssocID="{AFA1638E-A68A-40BB-9B7F-4CCA7BFD8C1F}" presName="sibTrans" presStyleLbl="sibTrans2D1" presStyleIdx="3" presStyleCnt="6"/>
      <dgm:spPr/>
    </dgm:pt>
    <dgm:pt modelId="{380CD677-DAB0-4924-A747-7528F46A2689}" type="pres">
      <dgm:prSet presAssocID="{9899F651-6CE3-4AFC-A2F1-63F479A9A40F}" presName="child" presStyleLbl="alignAccFollowNode1" presStyleIdx="3" presStyleCnt="6">
        <dgm:presLayoutVars>
          <dgm:chMax val="0"/>
          <dgm:bulletEnabled val="1"/>
        </dgm:presLayoutVars>
      </dgm:prSet>
      <dgm:spPr/>
    </dgm:pt>
    <dgm:pt modelId="{412F4A81-EBC9-467F-940A-0194C7026DF0}" type="pres">
      <dgm:prSet presAssocID="{3FA37502-1AE5-4206-A614-BB75523E5AEF}" presName="hSp" presStyleCnt="0"/>
      <dgm:spPr/>
    </dgm:pt>
    <dgm:pt modelId="{CA6CAD8D-9D39-4CB7-B2AC-E62535DBF9F1}" type="pres">
      <dgm:prSet presAssocID="{E81F0A77-44C7-48D1-8814-155FD9E40A4E}" presName="vertFlow" presStyleCnt="0"/>
      <dgm:spPr/>
    </dgm:pt>
    <dgm:pt modelId="{8C372E44-D6DF-4E0B-A433-7C6ECF703353}" type="pres">
      <dgm:prSet presAssocID="{E81F0A77-44C7-48D1-8814-155FD9E40A4E}" presName="header" presStyleLbl="node1" presStyleIdx="2" presStyleCnt="3"/>
      <dgm:spPr/>
    </dgm:pt>
    <dgm:pt modelId="{79306D39-FE7D-4EA4-8C77-AC1564144494}" type="pres">
      <dgm:prSet presAssocID="{3010E75C-49E5-48F0-AF9E-6FAE29945BB6}" presName="parTrans" presStyleLbl="sibTrans2D1" presStyleIdx="4" presStyleCnt="6"/>
      <dgm:spPr/>
    </dgm:pt>
    <dgm:pt modelId="{05060DD9-2D4C-4EB3-A249-341E29652BAC}" type="pres">
      <dgm:prSet presAssocID="{B689C8E2-710C-41FF-B78F-59AEBBADBBBF}" presName="child" presStyleLbl="alignAccFollowNode1" presStyleIdx="4" presStyleCnt="6">
        <dgm:presLayoutVars>
          <dgm:chMax val="0"/>
          <dgm:bulletEnabled val="1"/>
        </dgm:presLayoutVars>
      </dgm:prSet>
      <dgm:spPr/>
    </dgm:pt>
    <dgm:pt modelId="{BE7FDE2C-953E-4F4E-869A-292222B7FEBB}" type="pres">
      <dgm:prSet presAssocID="{8EA93E01-868C-4F56-BA2B-6F222E40070A}" presName="sibTrans" presStyleLbl="sibTrans2D1" presStyleIdx="5" presStyleCnt="6"/>
      <dgm:spPr/>
    </dgm:pt>
    <dgm:pt modelId="{95866BC0-A1D8-4A35-BCCB-36B806032FDC}" type="pres">
      <dgm:prSet presAssocID="{B8748361-EED6-4164-8C48-5EAAE3E7D684}" presName="child" presStyleLbl="alignAccFollowNode1" presStyleIdx="5" presStyleCnt="6">
        <dgm:presLayoutVars>
          <dgm:chMax val="0"/>
          <dgm:bulletEnabled val="1"/>
        </dgm:presLayoutVars>
      </dgm:prSet>
      <dgm:spPr/>
    </dgm:pt>
  </dgm:ptLst>
  <dgm:cxnLst>
    <dgm:cxn modelId="{B95B0106-B8F7-41EC-8357-E2BF50970BEB}" srcId="{6A561682-74C2-4246-B9A2-794A5B6E4C65}" destId="{3FA37502-1AE5-4206-A614-BB75523E5AEF}" srcOrd="1" destOrd="0" parTransId="{AD2C9D44-9195-4CB9-B3B7-8CBCA4EBE968}" sibTransId="{B4096F4E-3C05-40BC-919B-14C12A1A34E2}"/>
    <dgm:cxn modelId="{043DCC0B-D3CB-4F43-8B43-D198CCC73C5C}" type="presOf" srcId="{3010E75C-49E5-48F0-AF9E-6FAE29945BB6}" destId="{79306D39-FE7D-4EA4-8C77-AC1564144494}" srcOrd="0" destOrd="0" presId="urn:microsoft.com/office/officeart/2005/8/layout/lProcess1"/>
    <dgm:cxn modelId="{F844DB11-564F-4924-99B3-D4957A09DAE3}" type="presOf" srcId="{3FA37502-1AE5-4206-A614-BB75523E5AEF}" destId="{E7E99297-F4F4-4BAA-99FA-0B33A6EC6840}" srcOrd="0" destOrd="0" presId="urn:microsoft.com/office/officeart/2005/8/layout/lProcess1"/>
    <dgm:cxn modelId="{BAB96E13-0275-42F3-BF88-455E5FD845DB}" type="presOf" srcId="{B8748361-EED6-4164-8C48-5EAAE3E7D684}" destId="{95866BC0-A1D8-4A35-BCCB-36B806032FDC}" srcOrd="0" destOrd="0" presId="urn:microsoft.com/office/officeart/2005/8/layout/lProcess1"/>
    <dgm:cxn modelId="{C06CE92A-B6DC-4A2E-B34B-47B33878AC09}" type="presOf" srcId="{B689C8E2-710C-41FF-B78F-59AEBBADBBBF}" destId="{05060DD9-2D4C-4EB3-A249-341E29652BAC}" srcOrd="0" destOrd="0" presId="urn:microsoft.com/office/officeart/2005/8/layout/lProcess1"/>
    <dgm:cxn modelId="{5D11802C-16ED-49A4-9D53-7EEC546D2F18}" srcId="{3FA37502-1AE5-4206-A614-BB75523E5AEF}" destId="{7768072D-954F-4163-B157-3686EB7997F2}" srcOrd="0" destOrd="0" parTransId="{658A9DDF-7782-4BF6-94AF-5AFFEE084E98}" sibTransId="{AFA1638E-A68A-40BB-9B7F-4CCA7BFD8C1F}"/>
    <dgm:cxn modelId="{AC7A342F-B200-41FA-9F34-93B7141A33DA}" type="presOf" srcId="{E81F0A77-44C7-48D1-8814-155FD9E40A4E}" destId="{8C372E44-D6DF-4E0B-A433-7C6ECF703353}" srcOrd="0" destOrd="0" presId="urn:microsoft.com/office/officeart/2005/8/layout/lProcess1"/>
    <dgm:cxn modelId="{2FA4A633-D7B1-4135-BDF7-595D85640357}" type="presOf" srcId="{010AAECB-4E2D-433D-B3CB-9A2DDADEE310}" destId="{43DCF0EA-297E-4529-8008-C2DF53A1096D}" srcOrd="0" destOrd="0" presId="urn:microsoft.com/office/officeart/2005/8/layout/lProcess1"/>
    <dgm:cxn modelId="{0FB42039-D1EE-4863-B5EE-96C9902B1DAE}" type="presOf" srcId="{0A315362-365F-4BD6-AD0D-F5C78B8C4D55}" destId="{74FF1BAE-362A-46A8-9B4F-F1987BB1CAC0}" srcOrd="0" destOrd="0" presId="urn:microsoft.com/office/officeart/2005/8/layout/lProcess1"/>
    <dgm:cxn modelId="{FB9D324A-28CA-4488-BDB8-641ECC72238D}" type="presOf" srcId="{1550A6D1-62E1-4CC5-B260-8C49A4FE9BEE}" destId="{22A481EE-72EF-42DF-A2D9-5816DC456562}" srcOrd="0" destOrd="0" presId="urn:microsoft.com/office/officeart/2005/8/layout/lProcess1"/>
    <dgm:cxn modelId="{1DBECA4C-E41F-4EC1-BAE0-29EC5E2D7CF0}" type="presOf" srcId="{310971CC-4F62-4C48-891D-161982B8CCB4}" destId="{D3701D94-2923-4D15-83A5-2D63DA1FDFE5}" srcOrd="0" destOrd="0" presId="urn:microsoft.com/office/officeart/2005/8/layout/lProcess1"/>
    <dgm:cxn modelId="{59EE094D-8546-495F-8FAD-0FD8910E824F}" type="presOf" srcId="{AFA1638E-A68A-40BB-9B7F-4CCA7BFD8C1F}" destId="{D8AA959E-885D-4116-9902-80D60EC300E5}" srcOrd="0" destOrd="0" presId="urn:microsoft.com/office/officeart/2005/8/layout/lProcess1"/>
    <dgm:cxn modelId="{77272C51-6DA3-46DC-9F90-B45D7DB1682A}" srcId="{6A561682-74C2-4246-B9A2-794A5B6E4C65}" destId="{E81F0A77-44C7-48D1-8814-155FD9E40A4E}" srcOrd="2" destOrd="0" parTransId="{1D645DFC-8B37-43FD-BC8E-DDFCAF08861E}" sibTransId="{1901C890-4E53-4695-9E86-C4C6576AC03D}"/>
    <dgm:cxn modelId="{E5B0AB53-8E86-4F21-9AF1-05CF966E683C}" type="presOf" srcId="{D938241E-E974-43E3-B0F4-DA3401125828}" destId="{0CFE3EE0-CA53-44B8-9AD8-02D1C21C7635}" srcOrd="0" destOrd="0" presId="urn:microsoft.com/office/officeart/2005/8/layout/lProcess1"/>
    <dgm:cxn modelId="{DDDDCB56-47C1-4A47-B951-3A7CADD094DA}" srcId="{310971CC-4F62-4C48-891D-161982B8CCB4}" destId="{0A315362-365F-4BD6-AD0D-F5C78B8C4D55}" srcOrd="1" destOrd="0" parTransId="{DB3D7FCF-2E5B-45DF-940F-0517F9BF2358}" sibTransId="{E60516CF-EE54-4FFB-B8D2-1BF4260543CC}"/>
    <dgm:cxn modelId="{0AEC985A-474E-455C-A4C3-642530F0C371}" srcId="{E81F0A77-44C7-48D1-8814-155FD9E40A4E}" destId="{B689C8E2-710C-41FF-B78F-59AEBBADBBBF}" srcOrd="0" destOrd="0" parTransId="{3010E75C-49E5-48F0-AF9E-6FAE29945BB6}" sibTransId="{8EA93E01-868C-4F56-BA2B-6F222E40070A}"/>
    <dgm:cxn modelId="{2C2E1C8D-0717-45AE-91EB-6F5EE9845855}" type="presOf" srcId="{6A561682-74C2-4246-B9A2-794A5B6E4C65}" destId="{158AE9E2-3D3F-4C9D-B1CF-97B99C1CA7AD}" srcOrd="0" destOrd="0" presId="urn:microsoft.com/office/officeart/2005/8/layout/lProcess1"/>
    <dgm:cxn modelId="{5989478F-0558-4CD2-9A7A-728661BBE7AF}" type="presOf" srcId="{9899F651-6CE3-4AFC-A2F1-63F479A9A40F}" destId="{380CD677-DAB0-4924-A747-7528F46A2689}" srcOrd="0" destOrd="0" presId="urn:microsoft.com/office/officeart/2005/8/layout/lProcess1"/>
    <dgm:cxn modelId="{954CAABC-F7E7-44AB-84B3-2E5F512E64E7}" srcId="{E81F0A77-44C7-48D1-8814-155FD9E40A4E}" destId="{B8748361-EED6-4164-8C48-5EAAE3E7D684}" srcOrd="1" destOrd="0" parTransId="{EBCEF983-B779-416F-9858-CDBF0D8DEF68}" sibTransId="{678FB482-BA30-4A5F-9629-7F2A96442126}"/>
    <dgm:cxn modelId="{010C3ADF-BEA0-4DE1-AB66-609287E6AD26}" srcId="{6A561682-74C2-4246-B9A2-794A5B6E4C65}" destId="{310971CC-4F62-4C48-891D-161982B8CCB4}" srcOrd="0" destOrd="0" parTransId="{2CCCA79E-E387-4F21-BE23-D072BBE234C4}" sibTransId="{00418D58-1CB6-4EEE-BB45-E48A3B5D42B7}"/>
    <dgm:cxn modelId="{3B0FFCEF-9A7E-48AC-96FE-3C0F8E399DB7}" srcId="{310971CC-4F62-4C48-891D-161982B8CCB4}" destId="{D938241E-E974-43E3-B0F4-DA3401125828}" srcOrd="0" destOrd="0" parTransId="{010AAECB-4E2D-433D-B3CB-9A2DDADEE310}" sibTransId="{1550A6D1-62E1-4CC5-B260-8C49A4FE9BEE}"/>
    <dgm:cxn modelId="{F90962F7-601C-43AD-8385-5EDC3D053BEF}" type="presOf" srcId="{8EA93E01-868C-4F56-BA2B-6F222E40070A}" destId="{BE7FDE2C-953E-4F4E-869A-292222B7FEBB}" srcOrd="0" destOrd="0" presId="urn:microsoft.com/office/officeart/2005/8/layout/lProcess1"/>
    <dgm:cxn modelId="{6C9637F9-2165-438F-A4E4-76D2330ABF19}" type="presOf" srcId="{658A9DDF-7782-4BF6-94AF-5AFFEE084E98}" destId="{CAB5CBD4-3CD5-4EDB-90A9-561A089559BC}" srcOrd="0" destOrd="0" presId="urn:microsoft.com/office/officeart/2005/8/layout/lProcess1"/>
    <dgm:cxn modelId="{1F947DFA-12E8-4DBF-BF78-2AC23AC94072}" srcId="{3FA37502-1AE5-4206-A614-BB75523E5AEF}" destId="{9899F651-6CE3-4AFC-A2F1-63F479A9A40F}" srcOrd="1" destOrd="0" parTransId="{E0D5859E-BDF5-442C-8235-BE41BF921D8E}" sibTransId="{C591F775-ED8E-4C2D-9B28-D8C361839268}"/>
    <dgm:cxn modelId="{FE2D34FF-C1E3-4E46-8EB6-45217D83FB5C}" type="presOf" srcId="{7768072D-954F-4163-B157-3686EB7997F2}" destId="{4607EC16-E888-44FE-BF4B-DB6F419C2B9A}" srcOrd="0" destOrd="0" presId="urn:microsoft.com/office/officeart/2005/8/layout/lProcess1"/>
    <dgm:cxn modelId="{B09EEE42-76C4-4B21-B892-ABBC6006E78C}" type="presParOf" srcId="{158AE9E2-3D3F-4C9D-B1CF-97B99C1CA7AD}" destId="{01A2A299-5AA3-42E3-9F49-056F97A31134}" srcOrd="0" destOrd="0" presId="urn:microsoft.com/office/officeart/2005/8/layout/lProcess1"/>
    <dgm:cxn modelId="{3B892041-778F-40D4-AC22-F2C914C2980C}" type="presParOf" srcId="{01A2A299-5AA3-42E3-9F49-056F97A31134}" destId="{D3701D94-2923-4D15-83A5-2D63DA1FDFE5}" srcOrd="0" destOrd="0" presId="urn:microsoft.com/office/officeart/2005/8/layout/lProcess1"/>
    <dgm:cxn modelId="{20CB2DCB-9B01-4B0F-BE87-79738606AE2D}" type="presParOf" srcId="{01A2A299-5AA3-42E3-9F49-056F97A31134}" destId="{43DCF0EA-297E-4529-8008-C2DF53A1096D}" srcOrd="1" destOrd="0" presId="urn:microsoft.com/office/officeart/2005/8/layout/lProcess1"/>
    <dgm:cxn modelId="{CD6C0F7F-50DA-44E9-A329-55115E01F072}" type="presParOf" srcId="{01A2A299-5AA3-42E3-9F49-056F97A31134}" destId="{0CFE3EE0-CA53-44B8-9AD8-02D1C21C7635}" srcOrd="2" destOrd="0" presId="urn:microsoft.com/office/officeart/2005/8/layout/lProcess1"/>
    <dgm:cxn modelId="{9FE0CE12-4803-4BC6-AB22-4F05CDB21F0B}" type="presParOf" srcId="{01A2A299-5AA3-42E3-9F49-056F97A31134}" destId="{22A481EE-72EF-42DF-A2D9-5816DC456562}" srcOrd="3" destOrd="0" presId="urn:microsoft.com/office/officeart/2005/8/layout/lProcess1"/>
    <dgm:cxn modelId="{E6499578-5D21-4691-8BB3-35B8CC91B7C1}" type="presParOf" srcId="{01A2A299-5AA3-42E3-9F49-056F97A31134}" destId="{74FF1BAE-362A-46A8-9B4F-F1987BB1CAC0}" srcOrd="4" destOrd="0" presId="urn:microsoft.com/office/officeart/2005/8/layout/lProcess1"/>
    <dgm:cxn modelId="{225E2CD0-6A4B-4313-A070-EC08E49ED3AE}" type="presParOf" srcId="{158AE9E2-3D3F-4C9D-B1CF-97B99C1CA7AD}" destId="{85668F46-76DB-43A2-96B1-30D7AB7744A4}" srcOrd="1" destOrd="0" presId="urn:microsoft.com/office/officeart/2005/8/layout/lProcess1"/>
    <dgm:cxn modelId="{8802294A-5D91-4DD5-9290-F95B73731931}" type="presParOf" srcId="{158AE9E2-3D3F-4C9D-B1CF-97B99C1CA7AD}" destId="{CFC684AF-44C5-4AE3-A167-B4F8E20199A6}" srcOrd="2" destOrd="0" presId="urn:microsoft.com/office/officeart/2005/8/layout/lProcess1"/>
    <dgm:cxn modelId="{3DBD94E5-F089-43C4-B0AC-1B8763CCB6A5}" type="presParOf" srcId="{CFC684AF-44C5-4AE3-A167-B4F8E20199A6}" destId="{E7E99297-F4F4-4BAA-99FA-0B33A6EC6840}" srcOrd="0" destOrd="0" presId="urn:microsoft.com/office/officeart/2005/8/layout/lProcess1"/>
    <dgm:cxn modelId="{E648A0A9-2A39-4435-A639-A47B82C1CFB3}" type="presParOf" srcId="{CFC684AF-44C5-4AE3-A167-B4F8E20199A6}" destId="{CAB5CBD4-3CD5-4EDB-90A9-561A089559BC}" srcOrd="1" destOrd="0" presId="urn:microsoft.com/office/officeart/2005/8/layout/lProcess1"/>
    <dgm:cxn modelId="{3EDB3BBA-B38A-47EE-8E1F-61320586BF25}" type="presParOf" srcId="{CFC684AF-44C5-4AE3-A167-B4F8E20199A6}" destId="{4607EC16-E888-44FE-BF4B-DB6F419C2B9A}" srcOrd="2" destOrd="0" presId="urn:microsoft.com/office/officeart/2005/8/layout/lProcess1"/>
    <dgm:cxn modelId="{6C837265-4482-4AC5-BBD3-809F3A3D30BA}" type="presParOf" srcId="{CFC684AF-44C5-4AE3-A167-B4F8E20199A6}" destId="{D8AA959E-885D-4116-9902-80D60EC300E5}" srcOrd="3" destOrd="0" presId="urn:microsoft.com/office/officeart/2005/8/layout/lProcess1"/>
    <dgm:cxn modelId="{D3DB46F9-CB61-4E01-BF0C-205FEDA8D6CD}" type="presParOf" srcId="{CFC684AF-44C5-4AE3-A167-B4F8E20199A6}" destId="{380CD677-DAB0-4924-A747-7528F46A2689}" srcOrd="4" destOrd="0" presId="urn:microsoft.com/office/officeart/2005/8/layout/lProcess1"/>
    <dgm:cxn modelId="{1FA5AC1B-64E3-44F7-81FE-8CF3E9976468}" type="presParOf" srcId="{158AE9E2-3D3F-4C9D-B1CF-97B99C1CA7AD}" destId="{412F4A81-EBC9-467F-940A-0194C7026DF0}" srcOrd="3" destOrd="0" presId="urn:microsoft.com/office/officeart/2005/8/layout/lProcess1"/>
    <dgm:cxn modelId="{D502D87F-7444-4870-BE45-C1C4B0DDB3CE}" type="presParOf" srcId="{158AE9E2-3D3F-4C9D-B1CF-97B99C1CA7AD}" destId="{CA6CAD8D-9D39-4CB7-B2AC-E62535DBF9F1}" srcOrd="4" destOrd="0" presId="urn:microsoft.com/office/officeart/2005/8/layout/lProcess1"/>
    <dgm:cxn modelId="{1209C238-412A-40CC-B77E-82B9B69762CC}" type="presParOf" srcId="{CA6CAD8D-9D39-4CB7-B2AC-E62535DBF9F1}" destId="{8C372E44-D6DF-4E0B-A433-7C6ECF703353}" srcOrd="0" destOrd="0" presId="urn:microsoft.com/office/officeart/2005/8/layout/lProcess1"/>
    <dgm:cxn modelId="{B6C4EA92-E625-451A-B8F0-9EA03CCE5EBD}" type="presParOf" srcId="{CA6CAD8D-9D39-4CB7-B2AC-E62535DBF9F1}" destId="{79306D39-FE7D-4EA4-8C77-AC1564144494}" srcOrd="1" destOrd="0" presId="urn:microsoft.com/office/officeart/2005/8/layout/lProcess1"/>
    <dgm:cxn modelId="{24CDC169-12FA-43B3-BDB4-E05189BC6E8A}" type="presParOf" srcId="{CA6CAD8D-9D39-4CB7-B2AC-E62535DBF9F1}" destId="{05060DD9-2D4C-4EB3-A249-341E29652BAC}" srcOrd="2" destOrd="0" presId="urn:microsoft.com/office/officeart/2005/8/layout/lProcess1"/>
    <dgm:cxn modelId="{345E62AB-FB77-41BF-9DE0-F067921C8DEC}" type="presParOf" srcId="{CA6CAD8D-9D39-4CB7-B2AC-E62535DBF9F1}" destId="{BE7FDE2C-953E-4F4E-869A-292222B7FEBB}" srcOrd="3" destOrd="0" presId="urn:microsoft.com/office/officeart/2005/8/layout/lProcess1"/>
    <dgm:cxn modelId="{43179063-679C-4462-9EC4-8F77D3F570CC}" type="presParOf" srcId="{CA6CAD8D-9D39-4CB7-B2AC-E62535DBF9F1}" destId="{95866BC0-A1D8-4A35-BCCB-36B806032FDC}" srcOrd="4" destOrd="0" presId="urn:microsoft.com/office/officeart/2005/8/layout/l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701D94-2923-4D15-83A5-2D63DA1FDFE5}">
      <dsp:nvSpPr>
        <dsp:cNvPr id="0" name=""/>
        <dsp:cNvSpPr/>
      </dsp:nvSpPr>
      <dsp:spPr>
        <a:xfrm>
          <a:off x="2841" y="23902"/>
          <a:ext cx="2234319" cy="55857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Students accessing PG Cert  Independent/ Supplementary Prescribing for Nuses and Midwives </a:t>
          </a:r>
        </a:p>
      </dsp:txBody>
      <dsp:txXfrm>
        <a:off x="19201" y="40262"/>
        <a:ext cx="2201599" cy="525859"/>
      </dsp:txXfrm>
    </dsp:sp>
    <dsp:sp modelId="{43DCF0EA-297E-4529-8008-C2DF53A1096D}">
      <dsp:nvSpPr>
        <dsp:cNvPr id="0" name=""/>
        <dsp:cNvSpPr/>
      </dsp:nvSpPr>
      <dsp:spPr>
        <a:xfrm rot="5400000">
          <a:off x="1071125" y="631357"/>
          <a:ext cx="97751" cy="97751"/>
        </a:xfrm>
        <a:prstGeom prst="rightArrow">
          <a:avLst>
            <a:gd name="adj1" fmla="val 667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CFE3EE0-CA53-44B8-9AD8-02D1C21C7635}">
      <dsp:nvSpPr>
        <dsp:cNvPr id="0" name=""/>
        <dsp:cNvSpPr/>
      </dsp:nvSpPr>
      <dsp:spPr>
        <a:xfrm>
          <a:off x="2841" y="777985"/>
          <a:ext cx="2234319" cy="558579"/>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Completion of  ACRHA or equivalent 30 credits level 7 certificated learning (RP(C)L)</a:t>
          </a:r>
        </a:p>
      </dsp:txBody>
      <dsp:txXfrm>
        <a:off x="19201" y="794345"/>
        <a:ext cx="2201599" cy="525859"/>
      </dsp:txXfrm>
    </dsp:sp>
    <dsp:sp modelId="{22A481EE-72EF-42DF-A2D9-5816DC456562}">
      <dsp:nvSpPr>
        <dsp:cNvPr id="0" name=""/>
        <dsp:cNvSpPr/>
      </dsp:nvSpPr>
      <dsp:spPr>
        <a:xfrm rot="5400000">
          <a:off x="1071125" y="1385440"/>
          <a:ext cx="97751" cy="97751"/>
        </a:xfrm>
        <a:prstGeom prst="rightArrow">
          <a:avLst>
            <a:gd name="adj1" fmla="val 667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4FF1BAE-362A-46A8-9B4F-F1987BB1CAC0}">
      <dsp:nvSpPr>
        <dsp:cNvPr id="0" name=""/>
        <dsp:cNvSpPr/>
      </dsp:nvSpPr>
      <dsp:spPr>
        <a:xfrm>
          <a:off x="2841" y="1532067"/>
          <a:ext cx="2234319" cy="558579"/>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Completion of level 7 V300 module leads to PG Cert award and eligibility for NMC recognition as a prescriber</a:t>
          </a:r>
        </a:p>
      </dsp:txBody>
      <dsp:txXfrm>
        <a:off x="19201" y="1548427"/>
        <a:ext cx="2201599" cy="525859"/>
      </dsp:txXfrm>
    </dsp:sp>
    <dsp:sp modelId="{E7E99297-F4F4-4BAA-99FA-0B33A6EC6840}">
      <dsp:nvSpPr>
        <dsp:cNvPr id="0" name=""/>
        <dsp:cNvSpPr/>
      </dsp:nvSpPr>
      <dsp:spPr>
        <a:xfrm>
          <a:off x="2549965" y="23902"/>
          <a:ext cx="2234319" cy="55857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Students accessing PG Dip/ MSc Healthcare Practice  or Advanced Clinical Practice</a:t>
          </a:r>
        </a:p>
      </dsp:txBody>
      <dsp:txXfrm>
        <a:off x="2566325" y="40262"/>
        <a:ext cx="2201599" cy="525859"/>
      </dsp:txXfrm>
    </dsp:sp>
    <dsp:sp modelId="{CAB5CBD4-3CD5-4EDB-90A9-561A089559BC}">
      <dsp:nvSpPr>
        <dsp:cNvPr id="0" name=""/>
        <dsp:cNvSpPr/>
      </dsp:nvSpPr>
      <dsp:spPr>
        <a:xfrm rot="5400000">
          <a:off x="3618249" y="631357"/>
          <a:ext cx="97751" cy="97751"/>
        </a:xfrm>
        <a:prstGeom prst="rightArrow">
          <a:avLst>
            <a:gd name="adj1" fmla="val 667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607EC16-E888-44FE-BF4B-DB6F419C2B9A}">
      <dsp:nvSpPr>
        <dsp:cNvPr id="0" name=""/>
        <dsp:cNvSpPr/>
      </dsp:nvSpPr>
      <dsp:spPr>
        <a:xfrm>
          <a:off x="2549965" y="777985"/>
          <a:ext cx="2234319" cy="558579"/>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Completion of ACRHA or equivalent 30 credits level 7 certificated learning (RP(C)L)</a:t>
          </a:r>
        </a:p>
      </dsp:txBody>
      <dsp:txXfrm>
        <a:off x="2566325" y="794345"/>
        <a:ext cx="2201599" cy="525859"/>
      </dsp:txXfrm>
    </dsp:sp>
    <dsp:sp modelId="{D8AA959E-885D-4116-9902-80D60EC300E5}">
      <dsp:nvSpPr>
        <dsp:cNvPr id="0" name=""/>
        <dsp:cNvSpPr/>
      </dsp:nvSpPr>
      <dsp:spPr>
        <a:xfrm rot="5400000">
          <a:off x="3618249" y="1385440"/>
          <a:ext cx="97751" cy="97751"/>
        </a:xfrm>
        <a:prstGeom prst="rightArrow">
          <a:avLst>
            <a:gd name="adj1" fmla="val 667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80CD677-DAB0-4924-A747-7528F46A2689}">
      <dsp:nvSpPr>
        <dsp:cNvPr id="0" name=""/>
        <dsp:cNvSpPr/>
      </dsp:nvSpPr>
      <dsp:spPr>
        <a:xfrm>
          <a:off x="2549965" y="1532067"/>
          <a:ext cx="2234319" cy="558579"/>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Completion of level 7 V300 module leads to eligibility for NMC recognition as a prescriber</a:t>
          </a:r>
        </a:p>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ACRHA, or equivalent,  and V300 modules form part of the overacrching  PG Dip/ MSc award</a:t>
          </a:r>
        </a:p>
      </dsp:txBody>
      <dsp:txXfrm>
        <a:off x="2566325" y="1548427"/>
        <a:ext cx="2201599" cy="525859"/>
      </dsp:txXfrm>
    </dsp:sp>
    <dsp:sp modelId="{8C372E44-D6DF-4E0B-A433-7C6ECF703353}">
      <dsp:nvSpPr>
        <dsp:cNvPr id="0" name=""/>
        <dsp:cNvSpPr/>
      </dsp:nvSpPr>
      <dsp:spPr>
        <a:xfrm>
          <a:off x="5097089" y="23902"/>
          <a:ext cx="2234319" cy="55857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Standalone level 7 V300 module students</a:t>
          </a:r>
        </a:p>
      </dsp:txBody>
      <dsp:txXfrm>
        <a:off x="5113449" y="40262"/>
        <a:ext cx="2201599" cy="525859"/>
      </dsp:txXfrm>
    </dsp:sp>
    <dsp:sp modelId="{79306D39-FE7D-4EA4-8C77-AC1564144494}">
      <dsp:nvSpPr>
        <dsp:cNvPr id="0" name=""/>
        <dsp:cNvSpPr/>
      </dsp:nvSpPr>
      <dsp:spPr>
        <a:xfrm rot="5400000">
          <a:off x="6165373" y="631357"/>
          <a:ext cx="97751" cy="97751"/>
        </a:xfrm>
        <a:prstGeom prst="rightArrow">
          <a:avLst>
            <a:gd name="adj1" fmla="val 667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5060DD9-2D4C-4EB3-A249-341E29652BAC}">
      <dsp:nvSpPr>
        <dsp:cNvPr id="0" name=""/>
        <dsp:cNvSpPr/>
      </dsp:nvSpPr>
      <dsp:spPr>
        <a:xfrm>
          <a:off x="5097089" y="777985"/>
          <a:ext cx="2234319" cy="558579"/>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Evidence of completion of ACRHA, or equivalent, but does not meet RP (C)L requirements</a:t>
          </a:r>
        </a:p>
      </dsp:txBody>
      <dsp:txXfrm>
        <a:off x="5113449" y="794345"/>
        <a:ext cx="2201599" cy="525859"/>
      </dsp:txXfrm>
    </dsp:sp>
    <dsp:sp modelId="{BE7FDE2C-953E-4F4E-869A-292222B7FEBB}">
      <dsp:nvSpPr>
        <dsp:cNvPr id="0" name=""/>
        <dsp:cNvSpPr/>
      </dsp:nvSpPr>
      <dsp:spPr>
        <a:xfrm rot="5400000">
          <a:off x="6165373" y="1385440"/>
          <a:ext cx="97751" cy="97751"/>
        </a:xfrm>
        <a:prstGeom prst="rightArrow">
          <a:avLst>
            <a:gd name="adj1" fmla="val 667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5866BC0-A1D8-4A35-BCCB-36B806032FDC}">
      <dsp:nvSpPr>
        <dsp:cNvPr id="0" name=""/>
        <dsp:cNvSpPr/>
      </dsp:nvSpPr>
      <dsp:spPr>
        <a:xfrm>
          <a:off x="5097089" y="1532067"/>
          <a:ext cx="2234319" cy="558579"/>
        </a:xfrm>
        <a:prstGeom prst="roundRect">
          <a:avLst>
            <a:gd name="adj" fmla="val 10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Completion of level 7 V300 module leads to elegibility for NMC recognition as a prescriber </a:t>
          </a:r>
        </a:p>
        <a:p>
          <a:pPr marL="0" lvl="0" indent="0" algn="ctr" defTabSz="355600">
            <a:lnSpc>
              <a:spcPct val="90000"/>
            </a:lnSpc>
            <a:spcBef>
              <a:spcPct val="0"/>
            </a:spcBef>
            <a:spcAft>
              <a:spcPct val="35000"/>
            </a:spcAft>
            <a:buNone/>
          </a:pP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5113449" y="1548427"/>
        <a:ext cx="2201599" cy="52585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3BDDEE07-1A37-48F5-BE50-166ED4354461}"/>
</file>

<file path=docProps/app.xml><?xml version="1.0" encoding="utf-8"?>
<Properties xmlns="http://schemas.openxmlformats.org/officeDocument/2006/extended-properties" xmlns:vt="http://schemas.openxmlformats.org/officeDocument/2006/docPropsVTypes">
  <Template>Normal</Template>
  <TotalTime>141</TotalTime>
  <Pages>13</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14</cp:revision>
  <dcterms:created xsi:type="dcterms:W3CDTF">2022-01-06T12:57:00Z</dcterms:created>
  <dcterms:modified xsi:type="dcterms:W3CDTF">2022-08-03T12:32:00Z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