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body>
    <w:p w:rsidRPr="00DA2044" w:rsidR="00A92C9B" w:rsidP="00B83849" w:rsidRDefault="00A92C9B" w14:paraId="2322E545" w14:textId="5ED7AEA3">
      <w:pPr>
        <w:pStyle w:val="Heading1"/>
      </w:pPr>
    </w:p>
    <w:p w:rsidRPr="00DA2044" w:rsidR="00A92C9B" w:rsidP="00A92C9B" w:rsidRDefault="00A92C9B" w14:paraId="0CC25924" w14:textId="77777777">
      <w:pPr>
        <w:rPr>
          <w:rFonts w:cs="Arial"/>
          <w:noProof/>
        </w:rPr>
      </w:pPr>
    </w:p>
    <w:p w:rsidRPr="00DA2044" w:rsidR="00A92C9B" w:rsidP="00A92C9B" w:rsidRDefault="00A92C9B" w14:paraId="4A2A64BC" w14:textId="627A0792">
      <w:pPr>
        <w:rPr>
          <w:rFonts w:cs="Arial"/>
          <w:b/>
        </w:rPr>
      </w:pPr>
      <w:r w:rsidRPr="00DA2044">
        <w:rPr>
          <w:rFonts w:cs="Arial"/>
          <w:noProof/>
          <w:sz w:val="36"/>
          <w:szCs w:val="36"/>
        </w:rPr>
        <w:drawing>
          <wp:inline distT="0" distB="0" distL="0" distR="0" wp14:anchorId="0EF9A8FF" wp14:editId="4F6C7114">
            <wp:extent cx="704850" cy="704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rsidRPr="00DA2044" w:rsidR="00A92C9B" w:rsidP="00B83849" w:rsidRDefault="00A92C9B" w14:paraId="348A0D6B" w14:textId="180D9685">
      <w:pPr>
        <w:pStyle w:val="Heading1"/>
        <w:jc w:val="center"/>
        <w:rPr>
          <w:sz w:val="28"/>
        </w:rPr>
      </w:pPr>
      <w:r w:rsidRPr="00DA2044">
        <w:t>Programme Specification</w:t>
      </w:r>
      <w:r w:rsidRPr="00DA2044">
        <w:fldChar w:fldCharType="begin"/>
      </w:r>
      <w:r w:rsidRPr="00DA2044">
        <w:instrText xml:space="preserve"> XE "</w:instrText>
      </w:r>
      <w:r w:rsidRPr="00DA2044">
        <w:rPr>
          <w:noProof/>
        </w:rPr>
        <w:instrText>Programme Specification</w:instrText>
      </w:r>
      <w:r w:rsidRPr="00DA2044">
        <w:instrText xml:space="preserve">" </w:instrText>
      </w:r>
      <w:r w:rsidRPr="00DA2044">
        <w:fldChar w:fldCharType="end"/>
      </w:r>
    </w:p>
    <w:p w:rsidRPr="00DA2044" w:rsidR="00A92C9B" w:rsidP="00B83849" w:rsidRDefault="00A92C9B" w14:paraId="2F319D96" w14:textId="564BC8B9">
      <w:pPr>
        <w:pStyle w:val="Heading1"/>
        <w:rPr>
          <w:sz w:val="28"/>
        </w:rPr>
      </w:pPr>
      <w:r w:rsidRPr="00DA2044">
        <w:rPr>
          <w:sz w:val="28"/>
        </w:rPr>
        <w:t>Title of Course:</w:t>
      </w:r>
      <w:r w:rsidRPr="00AC2B1B" w:rsidR="00AC2B1B">
        <w:rPr>
          <w:rFonts w:cs="Arial"/>
          <w:sz w:val="24"/>
        </w:rPr>
        <w:t xml:space="preserve"> </w:t>
      </w:r>
      <w:r w:rsidRPr="002D232B" w:rsidR="00AC2B1B">
        <w:rPr>
          <w:rFonts w:cs="Arial"/>
          <w:sz w:val="24"/>
        </w:rPr>
        <w:t xml:space="preserve">BSc </w:t>
      </w:r>
      <w:r w:rsidR="007A07EF">
        <w:rPr>
          <w:rFonts w:cs="Arial"/>
          <w:sz w:val="24"/>
        </w:rPr>
        <w:t>Advanced Pharmaceutics</w:t>
      </w:r>
      <w:r w:rsidRPr="002D232B" w:rsidR="00AC2B1B">
        <w:rPr>
          <w:rFonts w:cs="Arial"/>
          <w:sz w:val="24"/>
        </w:rPr>
        <w:t xml:space="preserve"> (top-up year)</w:t>
      </w:r>
    </w:p>
    <w:p w:rsidRPr="00DA2044" w:rsidR="00970D87" w:rsidP="00A92C9B" w:rsidRDefault="00970D87" w14:paraId="1A534D29" w14:textId="77777777">
      <w:pPr>
        <w:rPr>
          <w:rFonts w:cs="Arial"/>
          <w:b/>
          <w:sz w:val="28"/>
        </w:rPr>
      </w:pPr>
    </w:p>
    <w:tbl>
      <w:tblPr>
        <w:tblStyle w:val="TableGrid"/>
        <w:tblW w:w="0" w:type="auto"/>
        <w:tblLook w:val="04A0" w:firstRow="1" w:lastRow="0" w:firstColumn="1" w:lastColumn="0" w:noHBand="0" w:noVBand="1"/>
      </w:tblPr>
      <w:tblGrid>
        <w:gridCol w:w="2689"/>
        <w:gridCol w:w="6327"/>
      </w:tblGrid>
      <w:tr w:rsidRPr="00970D87" w:rsidR="00A92C9B" w:rsidTr="0B614D63" w14:paraId="04F7B2D6" w14:textId="77777777">
        <w:tc>
          <w:tcPr>
            <w:tcW w:w="2689" w:type="dxa"/>
          </w:tcPr>
          <w:p w:rsidRPr="00970D87" w:rsidR="00A92C9B" w:rsidP="00B83849" w:rsidRDefault="00A92C9B" w14:paraId="08C3E0E2" w14:textId="77777777">
            <w:pPr>
              <w:rPr>
                <w:snapToGrid w:val="0"/>
              </w:rPr>
            </w:pPr>
            <w:r w:rsidRPr="00970D87">
              <w:rPr>
                <w:snapToGrid w:val="0"/>
              </w:rPr>
              <w:t xml:space="preserve">Date </w:t>
            </w:r>
            <w:r w:rsidR="00970D87">
              <w:rPr>
                <w:snapToGrid w:val="0"/>
              </w:rPr>
              <w:t>f</w:t>
            </w:r>
            <w:r w:rsidRPr="00970D87">
              <w:rPr>
                <w:snapToGrid w:val="0"/>
              </w:rPr>
              <w:t xml:space="preserve">irst </w:t>
            </w:r>
            <w:r w:rsidR="00970D87">
              <w:rPr>
                <w:snapToGrid w:val="0"/>
              </w:rPr>
              <w:t>produced</w:t>
            </w:r>
          </w:p>
        </w:tc>
        <w:tc>
          <w:tcPr>
            <w:tcW w:w="6327" w:type="dxa"/>
          </w:tcPr>
          <w:p w:rsidRPr="00970D87" w:rsidR="00A92C9B" w:rsidP="00B83849" w:rsidRDefault="007A07EF" w14:paraId="5D970069" w14:textId="00CC9093">
            <w:pPr>
              <w:rPr>
                <w:snapToGrid w:val="0"/>
              </w:rPr>
            </w:pPr>
            <w:r>
              <w:rPr>
                <w:snapToGrid w:val="0"/>
              </w:rPr>
              <w:t>January 2023</w:t>
            </w:r>
          </w:p>
        </w:tc>
      </w:tr>
      <w:tr w:rsidRPr="00970D87" w:rsidR="00A92C9B" w:rsidTr="0B614D63" w14:paraId="40A8A796" w14:textId="77777777">
        <w:tc>
          <w:tcPr>
            <w:tcW w:w="2689" w:type="dxa"/>
          </w:tcPr>
          <w:p w:rsidRPr="00970D87" w:rsidR="00A92C9B" w:rsidP="00B83849" w:rsidRDefault="00DC198B" w14:paraId="2D94646E" w14:textId="77777777">
            <w:pPr>
              <w:rPr>
                <w:snapToGrid w:val="0"/>
              </w:rPr>
            </w:pPr>
            <w:r w:rsidRPr="00970D87">
              <w:rPr>
                <w:snapToGrid w:val="0"/>
              </w:rPr>
              <w:t>Dat</w:t>
            </w:r>
            <w:r w:rsidRPr="00970D87" w:rsidR="00A92C9B">
              <w:rPr>
                <w:snapToGrid w:val="0"/>
              </w:rPr>
              <w:t xml:space="preserve">e </w:t>
            </w:r>
            <w:r w:rsidR="00970D87">
              <w:rPr>
                <w:snapToGrid w:val="0"/>
              </w:rPr>
              <w:t>l</w:t>
            </w:r>
            <w:r w:rsidRPr="00970D87" w:rsidR="00A92C9B">
              <w:rPr>
                <w:snapToGrid w:val="0"/>
              </w:rPr>
              <w:t xml:space="preserve">ast </w:t>
            </w:r>
            <w:r w:rsidR="00970D87">
              <w:rPr>
                <w:snapToGrid w:val="0"/>
              </w:rPr>
              <w:t>revised</w:t>
            </w:r>
          </w:p>
        </w:tc>
        <w:tc>
          <w:tcPr>
            <w:tcW w:w="6327" w:type="dxa"/>
          </w:tcPr>
          <w:p w:rsidRPr="007820DD" w:rsidR="00A92C9B" w:rsidP="00B83849" w:rsidRDefault="00A92C9B" w14:paraId="30DD9BA4" w14:textId="375DBB13">
            <w:pPr>
              <w:rPr>
                <w:iCs/>
                <w:snapToGrid w:val="0"/>
              </w:rPr>
            </w:pPr>
          </w:p>
        </w:tc>
      </w:tr>
      <w:tr w:rsidRPr="00970D87" w:rsidR="00A92C9B" w:rsidTr="0B614D63" w14:paraId="27FE6953" w14:textId="77777777">
        <w:tc>
          <w:tcPr>
            <w:tcW w:w="2689" w:type="dxa"/>
          </w:tcPr>
          <w:p w:rsidRPr="00970D87" w:rsidR="00A92C9B" w:rsidP="00B83849" w:rsidRDefault="00A92C9B" w14:paraId="21320A7F" w14:textId="77777777">
            <w:pPr>
              <w:rPr>
                <w:snapToGrid w:val="0"/>
              </w:rPr>
            </w:pPr>
            <w:r w:rsidRPr="00970D87">
              <w:rPr>
                <w:snapToGrid w:val="0"/>
              </w:rPr>
              <w:t xml:space="preserve">Date of </w:t>
            </w:r>
            <w:r w:rsidR="00970D87">
              <w:rPr>
                <w:snapToGrid w:val="0"/>
              </w:rPr>
              <w:t>i</w:t>
            </w:r>
            <w:r w:rsidRPr="00970D87">
              <w:rPr>
                <w:snapToGrid w:val="0"/>
              </w:rPr>
              <w:t>mplementation</w:t>
            </w:r>
            <w:r w:rsidR="00970D87">
              <w:rPr>
                <w:snapToGrid w:val="0"/>
              </w:rPr>
              <w:t xml:space="preserve"> of current version</w:t>
            </w:r>
          </w:p>
        </w:tc>
        <w:tc>
          <w:tcPr>
            <w:tcW w:w="6327" w:type="dxa"/>
          </w:tcPr>
          <w:p w:rsidRPr="00970D87" w:rsidR="00A92C9B" w:rsidP="00B83849" w:rsidRDefault="00AC2B1B" w14:paraId="17C97E49" w14:textId="229DE30C">
            <w:pPr>
              <w:rPr>
                <w:snapToGrid w:val="0"/>
              </w:rPr>
            </w:pPr>
            <w:r>
              <w:rPr>
                <w:snapToGrid w:val="0"/>
              </w:rPr>
              <w:t>September 2025</w:t>
            </w:r>
          </w:p>
        </w:tc>
      </w:tr>
      <w:tr w:rsidRPr="00970D87" w:rsidR="00A92C9B" w:rsidTr="0B614D63" w14:paraId="1472B3C2" w14:textId="77777777">
        <w:tc>
          <w:tcPr>
            <w:tcW w:w="2689" w:type="dxa"/>
          </w:tcPr>
          <w:p w:rsidRPr="00970D87" w:rsidR="00A92C9B" w:rsidP="00B83849" w:rsidRDefault="00A92C9B" w14:paraId="661B4E78" w14:textId="77777777">
            <w:pPr>
              <w:rPr>
                <w:snapToGrid w:val="0"/>
              </w:rPr>
            </w:pPr>
            <w:r w:rsidRPr="00970D87">
              <w:rPr>
                <w:snapToGrid w:val="0"/>
              </w:rPr>
              <w:t xml:space="preserve">Version </w:t>
            </w:r>
            <w:r w:rsidR="00970D87">
              <w:rPr>
                <w:snapToGrid w:val="0"/>
              </w:rPr>
              <w:t>number</w:t>
            </w:r>
          </w:p>
        </w:tc>
        <w:tc>
          <w:tcPr>
            <w:tcW w:w="6327" w:type="dxa"/>
          </w:tcPr>
          <w:p w:rsidRPr="00970D87" w:rsidR="00A92C9B" w:rsidP="00B83849" w:rsidRDefault="007A07EF" w14:paraId="409E5013" w14:textId="0AB799A2">
            <w:pPr>
              <w:rPr>
                <w:snapToGrid w:val="0"/>
              </w:rPr>
            </w:pPr>
            <w:r>
              <w:rPr>
                <w:snapToGrid w:val="0"/>
              </w:rPr>
              <w:t>1.0</w:t>
            </w:r>
          </w:p>
        </w:tc>
      </w:tr>
      <w:tr w:rsidRPr="00970D87" w:rsidR="00A92C9B" w:rsidTr="0B614D63" w14:paraId="3B8AD0C2" w14:textId="77777777">
        <w:tc>
          <w:tcPr>
            <w:tcW w:w="2689" w:type="dxa"/>
          </w:tcPr>
          <w:p w:rsidRPr="00970D87" w:rsidR="00A92C9B" w:rsidP="00B83849" w:rsidRDefault="00A92C9B" w14:paraId="0F66DE90" w14:textId="77777777">
            <w:pPr>
              <w:rPr>
                <w:snapToGrid w:val="0"/>
              </w:rPr>
            </w:pPr>
            <w:r w:rsidRPr="00970D87">
              <w:rPr>
                <w:snapToGrid w:val="0"/>
              </w:rPr>
              <w:t>Faculty</w:t>
            </w:r>
          </w:p>
        </w:tc>
        <w:tc>
          <w:tcPr>
            <w:tcW w:w="6327" w:type="dxa"/>
          </w:tcPr>
          <w:p w:rsidRPr="00970D87" w:rsidR="00A92C9B" w:rsidP="00B83849" w:rsidRDefault="00AC2B1B" w14:paraId="7874FFEB" w14:textId="79934FF0">
            <w:pPr>
              <w:rPr>
                <w:snapToGrid w:val="0"/>
              </w:rPr>
            </w:pPr>
            <w:r>
              <w:rPr>
                <w:snapToGrid w:val="0"/>
              </w:rPr>
              <w:t>HSSCE</w:t>
            </w:r>
          </w:p>
        </w:tc>
      </w:tr>
      <w:tr w:rsidRPr="00970D87" w:rsidR="00A92C9B" w:rsidTr="0B614D63" w14:paraId="55C24DE8" w14:textId="77777777">
        <w:tc>
          <w:tcPr>
            <w:tcW w:w="2689" w:type="dxa"/>
          </w:tcPr>
          <w:p w:rsidRPr="00970D87" w:rsidR="00A92C9B" w:rsidP="00B83849" w:rsidRDefault="00A92C9B" w14:paraId="57777C04" w14:textId="77777777">
            <w:pPr>
              <w:rPr>
                <w:snapToGrid w:val="0"/>
              </w:rPr>
            </w:pPr>
            <w:r w:rsidRPr="00970D87">
              <w:rPr>
                <w:snapToGrid w:val="0"/>
              </w:rPr>
              <w:t>School</w:t>
            </w:r>
          </w:p>
        </w:tc>
        <w:tc>
          <w:tcPr>
            <w:tcW w:w="6327" w:type="dxa"/>
          </w:tcPr>
          <w:p w:rsidRPr="00970D87" w:rsidR="00A92C9B" w:rsidP="00B83849" w:rsidRDefault="00AC2B1B" w14:paraId="1DDD819E" w14:textId="571984DA">
            <w:pPr>
              <w:rPr>
                <w:snapToGrid w:val="0"/>
              </w:rPr>
            </w:pPr>
            <w:r>
              <w:rPr>
                <w:snapToGrid w:val="0"/>
              </w:rPr>
              <w:t>LSPC</w:t>
            </w:r>
          </w:p>
        </w:tc>
      </w:tr>
      <w:tr w:rsidRPr="00970D87" w:rsidR="00A92C9B" w:rsidTr="0B614D63" w14:paraId="04BA7C5F" w14:textId="77777777">
        <w:tc>
          <w:tcPr>
            <w:tcW w:w="2689" w:type="dxa"/>
          </w:tcPr>
          <w:p w:rsidRPr="00970D87" w:rsidR="00A92C9B" w:rsidP="00B83849" w:rsidRDefault="00A92C9B" w14:paraId="1A33B060" w14:textId="77777777">
            <w:pPr>
              <w:rPr>
                <w:snapToGrid w:val="0"/>
              </w:rPr>
            </w:pPr>
            <w:r w:rsidRPr="00970D87">
              <w:rPr>
                <w:snapToGrid w:val="0"/>
              </w:rPr>
              <w:t xml:space="preserve">Department </w:t>
            </w:r>
          </w:p>
        </w:tc>
        <w:tc>
          <w:tcPr>
            <w:tcW w:w="6327" w:type="dxa"/>
          </w:tcPr>
          <w:p w:rsidRPr="00970D87" w:rsidR="00A92C9B" w:rsidP="00B83849" w:rsidRDefault="00AC2B1B" w14:paraId="4C02065A" w14:textId="5766D1DF">
            <w:pPr>
              <w:rPr>
                <w:snapToGrid w:val="0"/>
              </w:rPr>
            </w:pPr>
            <w:r>
              <w:rPr>
                <w:snapToGrid w:val="0"/>
              </w:rPr>
              <w:t>Pharmacy</w:t>
            </w:r>
          </w:p>
        </w:tc>
      </w:tr>
      <w:tr w:rsidRPr="00970D87" w:rsidR="00A92C9B" w:rsidTr="0B614D63" w14:paraId="66C9B42C" w14:textId="77777777">
        <w:tc>
          <w:tcPr>
            <w:tcW w:w="2689" w:type="dxa"/>
          </w:tcPr>
          <w:p w:rsidRPr="00970D87" w:rsidR="00A92C9B" w:rsidP="00B83849" w:rsidRDefault="00A92C9B" w14:paraId="0141FB8B" w14:textId="77777777">
            <w:pPr>
              <w:rPr>
                <w:snapToGrid w:val="0"/>
              </w:rPr>
            </w:pPr>
            <w:r w:rsidRPr="00970D87">
              <w:rPr>
                <w:snapToGrid w:val="0"/>
              </w:rPr>
              <w:t>Delivery Institution</w:t>
            </w:r>
          </w:p>
        </w:tc>
        <w:tc>
          <w:tcPr>
            <w:tcW w:w="6327" w:type="dxa"/>
          </w:tcPr>
          <w:p w:rsidRPr="00970D87" w:rsidR="00A92C9B" w:rsidP="00B83849" w:rsidRDefault="00AC2B1B" w14:paraId="5B5BAB5B" w14:textId="06914146">
            <w:pPr>
              <w:rPr>
                <w:snapToGrid w:val="0"/>
              </w:rPr>
            </w:pPr>
            <w:r>
              <w:rPr>
                <w:snapToGrid w:val="0"/>
              </w:rPr>
              <w:t>Kingston University</w:t>
            </w:r>
          </w:p>
        </w:tc>
      </w:tr>
    </w:tbl>
    <w:p w:rsidRPr="00B83849" w:rsidR="00A92C9B" w:rsidP="00B83849" w:rsidRDefault="00A92C9B" w14:paraId="0492A20E" w14:textId="77777777">
      <w:pPr>
        <w:rPr>
          <w:color w:val="C00000"/>
        </w:rPr>
      </w:pPr>
    </w:p>
    <w:p w:rsidRPr="00B83849" w:rsidR="00A92C9B" w:rsidP="00B83849" w:rsidRDefault="00A92C9B" w14:paraId="52FD1607" w14:textId="001FF290">
      <w:pPr>
        <w:rPr>
          <w:rFonts w:cs="Arial"/>
        </w:rPr>
      </w:pPr>
      <w:r w:rsidRPr="00B83849">
        <w:rPr>
          <w:rFonts w:cs="Arial"/>
        </w:rPr>
        <w:t>This Programme Specification</w:t>
      </w:r>
      <w:r w:rsidRPr="00B83849">
        <w:rPr>
          <w:rFonts w:cs="Arial"/>
        </w:rPr>
        <w:fldChar w:fldCharType="begin"/>
      </w:r>
      <w:r w:rsidRPr="00B83849">
        <w:rPr>
          <w:rFonts w:cs="Arial"/>
        </w:rPr>
        <w:instrText xml:space="preserve"> XE "</w:instrText>
      </w:r>
      <w:r w:rsidRPr="00B83849">
        <w:rPr>
          <w:rFonts w:cs="Arial"/>
          <w:noProof/>
        </w:rPr>
        <w:instrText>Programme Specification</w:instrText>
      </w:r>
      <w:r w:rsidRPr="00B83849">
        <w:rPr>
          <w:rFonts w:cs="Arial"/>
        </w:rPr>
        <w:instrText xml:space="preserve">" </w:instrText>
      </w:r>
      <w:r w:rsidRPr="00B83849">
        <w:rPr>
          <w:rFonts w:cs="Arial"/>
        </w:rPr>
        <w:fldChar w:fldCharType="end"/>
      </w:r>
      <w:r w:rsidRPr="00B83849">
        <w:rPr>
          <w:rFonts w:cs="Arial"/>
        </w:rPr>
        <w:t xml:space="preserve"> is designed for prospective students, current students, academic </w:t>
      </w:r>
      <w:proofErr w:type="gramStart"/>
      <w:r w:rsidRPr="00B83849">
        <w:rPr>
          <w:rFonts w:cs="Arial"/>
        </w:rPr>
        <w:t>staff</w:t>
      </w:r>
      <w:proofErr w:type="gramEnd"/>
      <w:r w:rsidRPr="00B83849">
        <w:rPr>
          <w:rFonts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Pr="00B83849" w:rsidR="00C70212">
        <w:rPr>
          <w:rFonts w:cs="Arial"/>
        </w:rPr>
        <w:t xml:space="preserve"> the course VLE site and </w:t>
      </w:r>
      <w:r w:rsidRPr="00B83849">
        <w:rPr>
          <w:rFonts w:cs="Arial"/>
        </w:rPr>
        <w:t>in individual Module Descriptors.</w:t>
      </w:r>
    </w:p>
    <w:p w:rsidRPr="00DA2044" w:rsidR="00A92C9B" w:rsidP="00A92C9B" w:rsidRDefault="00A92C9B" w14:paraId="5242D9AB" w14:textId="77777777">
      <w:pPr>
        <w:rPr>
          <w:rFonts w:cs="Arial"/>
        </w:rPr>
      </w:pPr>
    </w:p>
    <w:p w:rsidR="0044427F" w:rsidP="00A92C9B" w:rsidRDefault="0044427F" w14:paraId="7CFFD1F9" w14:textId="77777777">
      <w:pPr>
        <w:rPr>
          <w:rFonts w:cs="Arial"/>
          <w:i/>
          <w:color w:val="FF0000"/>
        </w:rPr>
      </w:pPr>
    </w:p>
    <w:p w:rsidRPr="0044427F" w:rsidR="0044427F" w:rsidP="0044427F" w:rsidRDefault="0044427F" w14:paraId="628CCF8F" w14:textId="77777777">
      <w:pPr>
        <w:rPr>
          <w:rFonts w:cs="Arial"/>
        </w:rPr>
      </w:pPr>
    </w:p>
    <w:p w:rsidR="0044427F" w:rsidP="0044427F" w:rsidRDefault="0044427F" w14:paraId="58363341" w14:textId="77777777">
      <w:pPr>
        <w:jc w:val="center"/>
        <w:rPr>
          <w:rFonts w:cs="Arial"/>
          <w:i/>
          <w:color w:val="FF0000"/>
        </w:rPr>
      </w:pPr>
    </w:p>
    <w:p w:rsidRPr="00B83849" w:rsidR="00A92C9B" w:rsidP="00B83849" w:rsidRDefault="00A92C9B" w14:paraId="04BF1175" w14:textId="09D15168">
      <w:pPr>
        <w:pStyle w:val="Heading2"/>
        <w:rPr>
          <w:b w:val="0"/>
        </w:rPr>
      </w:pPr>
      <w:r>
        <w:br w:type="page"/>
      </w:r>
      <w:r>
        <w:lastRenderedPageBreak/>
        <w:t>SECTION 1: GENERAL INFORMATION</w:t>
      </w:r>
    </w:p>
    <w:tbl>
      <w:tblPr>
        <w:tblStyle w:val="TableGrid"/>
        <w:tblW w:w="0" w:type="auto"/>
        <w:tblLook w:val="04A0" w:firstRow="1" w:lastRow="0" w:firstColumn="1" w:lastColumn="0" w:noHBand="0" w:noVBand="1"/>
      </w:tblPr>
      <w:tblGrid>
        <w:gridCol w:w="3436"/>
        <w:gridCol w:w="5580"/>
      </w:tblGrid>
      <w:tr w:rsidRPr="00BF1022" w:rsidR="00A92C9B" w:rsidTr="15C7882E" w14:paraId="0C3D9FCF" w14:textId="77777777">
        <w:tc>
          <w:tcPr>
            <w:tcW w:w="3436" w:type="dxa"/>
            <w:tcMar/>
          </w:tcPr>
          <w:p w:rsidRPr="00BF1022" w:rsidR="00A92C9B" w:rsidP="00B83849" w:rsidRDefault="00A92C9B" w14:paraId="310D7485" w14:textId="77777777">
            <w:r w:rsidRPr="00BF1022">
              <w:t>Award(s) and Title(s):</w:t>
            </w:r>
          </w:p>
        </w:tc>
        <w:tc>
          <w:tcPr>
            <w:tcW w:w="5580" w:type="dxa"/>
            <w:tcMar/>
          </w:tcPr>
          <w:p w:rsidRPr="00B83849" w:rsidR="00A92C9B" w:rsidP="1CE2BC51" w:rsidRDefault="00AC2B1B" w14:paraId="507DFC1C" w14:textId="5CD332EE">
            <w:pPr>
              <w:rPr>
                <w:i/>
                <w:iCs/>
                <w:color w:val="C00000"/>
              </w:rPr>
            </w:pPr>
            <w:r w:rsidRPr="002D232B">
              <w:rPr>
                <w:rFonts w:cs="Arial"/>
                <w:b/>
              </w:rPr>
              <w:t xml:space="preserve">BSc </w:t>
            </w:r>
            <w:r w:rsidR="007A07EF">
              <w:rPr>
                <w:rFonts w:cs="Arial"/>
                <w:b/>
              </w:rPr>
              <w:t xml:space="preserve">Advanced Pharmaceutics </w:t>
            </w:r>
            <w:r w:rsidRPr="002D232B">
              <w:rPr>
                <w:rFonts w:cs="Arial"/>
                <w:b/>
              </w:rPr>
              <w:t>(top-up)</w:t>
            </w:r>
            <w:r w:rsidR="00063F25">
              <w:rPr>
                <w:rFonts w:cs="Arial"/>
                <w:b/>
              </w:rPr>
              <w:t xml:space="preserve"> Hons</w:t>
            </w:r>
          </w:p>
        </w:tc>
      </w:tr>
      <w:tr w:rsidRPr="00BF1022" w:rsidR="00A92C9B" w:rsidTr="15C7882E" w14:paraId="61FE1C85" w14:textId="77777777">
        <w:tc>
          <w:tcPr>
            <w:tcW w:w="3436" w:type="dxa"/>
            <w:tcMar/>
          </w:tcPr>
          <w:p w:rsidRPr="00BF1022" w:rsidR="00A92C9B" w:rsidP="00B83849" w:rsidRDefault="00A92C9B" w14:paraId="33286F50" w14:textId="00BD58D5">
            <w:r w:rsidRPr="00BF1022">
              <w:t>Intermediate Awards</w:t>
            </w:r>
            <w:r w:rsidR="0055500E">
              <w:t>(s) and Title(s)</w:t>
            </w:r>
            <w:r w:rsidRPr="00BF1022">
              <w:t>:</w:t>
            </w:r>
          </w:p>
        </w:tc>
        <w:tc>
          <w:tcPr>
            <w:tcW w:w="5580" w:type="dxa"/>
            <w:tcMar/>
          </w:tcPr>
          <w:p w:rsidRPr="007820DD" w:rsidR="00A92C9B" w:rsidP="1CE2BC51" w:rsidRDefault="00AC2B1B" w14:paraId="779D20BE" w14:textId="69F104A1">
            <w:pPr>
              <w:rPr>
                <w:b/>
                <w:bCs/>
                <w:color w:val="C00000"/>
              </w:rPr>
            </w:pPr>
            <w:r w:rsidRPr="007820DD">
              <w:rPr>
                <w:b/>
                <w:bCs/>
              </w:rPr>
              <w:t>none</w:t>
            </w:r>
          </w:p>
        </w:tc>
      </w:tr>
      <w:tr w:rsidRPr="00BF1022" w:rsidR="00A92C9B" w:rsidTr="15C7882E" w14:paraId="644D12BB" w14:textId="77777777">
        <w:tc>
          <w:tcPr>
            <w:tcW w:w="3436" w:type="dxa"/>
            <w:tcMar/>
          </w:tcPr>
          <w:p w:rsidRPr="00BF1022" w:rsidR="00A92C9B" w:rsidP="00B83849" w:rsidRDefault="00A92C9B" w14:paraId="47594079" w14:textId="419B17AE">
            <w:r w:rsidRPr="00BF1022">
              <w:t>FHEQ Level for the Final Award:</w:t>
            </w:r>
          </w:p>
        </w:tc>
        <w:tc>
          <w:tcPr>
            <w:tcW w:w="5580" w:type="dxa"/>
            <w:tcMar/>
          </w:tcPr>
          <w:p w:rsidRPr="007820DD" w:rsidR="00A92C9B" w:rsidP="1CE2BC51" w:rsidRDefault="00AC2B1B" w14:paraId="3824513B" w14:textId="2142D395">
            <w:pPr>
              <w:rPr>
                <w:b/>
                <w:bCs/>
                <w:color w:val="C00000"/>
              </w:rPr>
            </w:pPr>
            <w:r w:rsidRPr="007820DD">
              <w:rPr>
                <w:b/>
                <w:bCs/>
              </w:rPr>
              <w:t>Level 6</w:t>
            </w:r>
          </w:p>
        </w:tc>
      </w:tr>
      <w:tr w:rsidRPr="00BF1022" w:rsidR="00A92C9B" w:rsidTr="15C7882E" w14:paraId="097980E5" w14:textId="77777777">
        <w:tc>
          <w:tcPr>
            <w:tcW w:w="3436" w:type="dxa"/>
            <w:tcMar/>
          </w:tcPr>
          <w:p w:rsidRPr="00BF1022" w:rsidR="00A92C9B" w:rsidP="00B83849" w:rsidRDefault="00A92C9B" w14:paraId="23994CAD" w14:textId="095FA6E7">
            <w:r w:rsidRPr="00BF1022">
              <w:t>Awarding Institution:</w:t>
            </w:r>
          </w:p>
        </w:tc>
        <w:tc>
          <w:tcPr>
            <w:tcW w:w="5580" w:type="dxa"/>
            <w:tcMar/>
          </w:tcPr>
          <w:p w:rsidRPr="00BF1022" w:rsidR="00A92C9B" w:rsidP="00B83849" w:rsidRDefault="00A92C9B" w14:paraId="4B1F43D1" w14:textId="77777777">
            <w:r w:rsidRPr="00BF1022">
              <w:t>Kingston University</w:t>
            </w:r>
          </w:p>
        </w:tc>
      </w:tr>
      <w:tr w:rsidRPr="00BF1022" w:rsidR="00151BB7" w:rsidTr="15C7882E" w14:paraId="721D6BCB" w14:textId="77777777">
        <w:tc>
          <w:tcPr>
            <w:tcW w:w="3436" w:type="dxa"/>
            <w:tcMar/>
          </w:tcPr>
          <w:p w:rsidRPr="00BF1022" w:rsidR="00151BB7" w:rsidP="00151BB7" w:rsidRDefault="00151BB7" w14:paraId="15528E1C" w14:textId="77777777">
            <w:r w:rsidRPr="00BF1022">
              <w:t>Teaching Institution:</w:t>
            </w:r>
          </w:p>
          <w:p w:rsidRPr="00BF1022" w:rsidR="00151BB7" w:rsidP="00151BB7" w:rsidRDefault="00151BB7" w14:paraId="1B229580" w14:textId="77777777"/>
        </w:tc>
        <w:tc>
          <w:tcPr>
            <w:tcW w:w="5580" w:type="dxa"/>
            <w:tcMar/>
          </w:tcPr>
          <w:p w:rsidRPr="00B83849" w:rsidR="00151BB7" w:rsidP="00151BB7" w:rsidRDefault="00151BB7" w14:paraId="34EFE47D" w14:textId="0846C77B">
            <w:pPr>
              <w:rPr>
                <w:i/>
                <w:iCs/>
                <w:color w:val="C00000"/>
              </w:rPr>
            </w:pPr>
            <w:r w:rsidRPr="00BF1022">
              <w:t>Kingston University</w:t>
            </w:r>
          </w:p>
        </w:tc>
      </w:tr>
      <w:tr w:rsidRPr="00BF1022" w:rsidR="00151BB7" w:rsidTr="15C7882E" w14:paraId="490F765D" w14:textId="77777777">
        <w:tc>
          <w:tcPr>
            <w:tcW w:w="3436" w:type="dxa"/>
            <w:tcMar/>
          </w:tcPr>
          <w:p w:rsidRPr="00BF1022" w:rsidR="00151BB7" w:rsidP="00151BB7" w:rsidRDefault="00151BB7" w14:paraId="6DBD4986" w14:textId="77777777">
            <w:r w:rsidRPr="00BF1022">
              <w:t>Location:</w:t>
            </w:r>
          </w:p>
        </w:tc>
        <w:tc>
          <w:tcPr>
            <w:tcW w:w="5580" w:type="dxa"/>
            <w:tcMar/>
          </w:tcPr>
          <w:p w:rsidRPr="007820DD" w:rsidR="00151BB7" w:rsidP="00151BB7" w:rsidRDefault="00151BB7" w14:paraId="3ADCF0D2" w14:textId="24356637">
            <w:pPr>
              <w:rPr>
                <w:i/>
              </w:rPr>
            </w:pPr>
            <w:r w:rsidRPr="007820DD">
              <w:rPr>
                <w:i/>
              </w:rPr>
              <w:t>Penrhyn Road Campus</w:t>
            </w:r>
          </w:p>
        </w:tc>
      </w:tr>
      <w:tr w:rsidRPr="00BF1022" w:rsidR="00151BB7" w:rsidTr="15C7882E" w14:paraId="5F54BDB5" w14:textId="77777777">
        <w:tc>
          <w:tcPr>
            <w:tcW w:w="3436" w:type="dxa"/>
            <w:tcMar/>
          </w:tcPr>
          <w:p w:rsidRPr="00BF1022" w:rsidR="00151BB7" w:rsidP="00151BB7" w:rsidRDefault="00151BB7" w14:paraId="408424F3" w14:textId="52F44EA4">
            <w:r w:rsidRPr="00BF1022">
              <w:t>Language of Delivery:</w:t>
            </w:r>
          </w:p>
        </w:tc>
        <w:tc>
          <w:tcPr>
            <w:tcW w:w="5580" w:type="dxa"/>
            <w:tcMar/>
          </w:tcPr>
          <w:p w:rsidRPr="007820DD" w:rsidR="00151BB7" w:rsidP="00151BB7" w:rsidRDefault="00151BB7" w14:paraId="288A5E69" w14:textId="70D68A35">
            <w:pPr>
              <w:rPr>
                <w:i/>
              </w:rPr>
            </w:pPr>
            <w:r>
              <w:rPr>
                <w:i/>
              </w:rPr>
              <w:t>English</w:t>
            </w:r>
          </w:p>
        </w:tc>
      </w:tr>
      <w:tr w:rsidRPr="00BF1022" w:rsidR="00151BB7" w:rsidTr="15C7882E" w14:paraId="421784EB" w14:textId="77777777">
        <w:tc>
          <w:tcPr>
            <w:tcW w:w="3436" w:type="dxa"/>
            <w:tcMar/>
          </w:tcPr>
          <w:p w:rsidRPr="00BF1022" w:rsidR="00151BB7" w:rsidP="00151BB7" w:rsidRDefault="00151BB7" w14:paraId="537CB538" w14:textId="2BB0CEA2">
            <w:r w:rsidRPr="00BF1022">
              <w:t>Modes of Delivery:</w:t>
            </w:r>
          </w:p>
        </w:tc>
        <w:tc>
          <w:tcPr>
            <w:tcW w:w="5580" w:type="dxa"/>
            <w:tcMar/>
          </w:tcPr>
          <w:p w:rsidRPr="007820DD" w:rsidR="00151BB7" w:rsidP="00151BB7" w:rsidRDefault="00151BB7" w14:paraId="7240FC2F" w14:textId="680FD1B3">
            <w:r w:rsidRPr="007820DD">
              <w:rPr>
                <w:i/>
              </w:rPr>
              <w:t xml:space="preserve">Full time, </w:t>
            </w:r>
          </w:p>
        </w:tc>
      </w:tr>
      <w:tr w:rsidRPr="00BF1022" w:rsidR="00151BB7" w:rsidTr="15C7882E" w14:paraId="7CF0CC64" w14:textId="77777777">
        <w:tc>
          <w:tcPr>
            <w:tcW w:w="3436" w:type="dxa"/>
            <w:tcMar/>
          </w:tcPr>
          <w:p w:rsidRPr="00BF1022" w:rsidR="00151BB7" w:rsidP="00151BB7" w:rsidRDefault="00151BB7" w14:paraId="1B53104D" w14:textId="77777777">
            <w:r w:rsidRPr="00BF1022">
              <w:t>Available as:</w:t>
            </w:r>
          </w:p>
        </w:tc>
        <w:tc>
          <w:tcPr>
            <w:tcW w:w="5580" w:type="dxa"/>
            <w:tcMar/>
          </w:tcPr>
          <w:p w:rsidRPr="007820DD" w:rsidR="00151BB7" w:rsidP="00151BB7" w:rsidRDefault="00151BB7" w14:paraId="767EE3A9" w14:textId="5433A67C">
            <w:pPr>
              <w:rPr>
                <w:i/>
              </w:rPr>
            </w:pPr>
            <w:r w:rsidRPr="007820DD">
              <w:rPr>
                <w:i/>
              </w:rPr>
              <w:t>top up</w:t>
            </w:r>
          </w:p>
        </w:tc>
      </w:tr>
      <w:tr w:rsidRPr="00BF1022" w:rsidR="00151BB7" w:rsidTr="15C7882E" w14:paraId="0AB42F90" w14:textId="77777777">
        <w:tc>
          <w:tcPr>
            <w:tcW w:w="3436" w:type="dxa"/>
            <w:tcMar/>
          </w:tcPr>
          <w:p w:rsidRPr="00BF1022" w:rsidR="00151BB7" w:rsidP="00151BB7" w:rsidRDefault="00151BB7" w14:paraId="3CDE1E3A" w14:textId="77777777">
            <w:r w:rsidRPr="00BF1022">
              <w:t>Minimum period of registration:</w:t>
            </w:r>
          </w:p>
        </w:tc>
        <w:tc>
          <w:tcPr>
            <w:tcW w:w="5580" w:type="dxa"/>
            <w:tcMar/>
          </w:tcPr>
          <w:p w:rsidRPr="007820DD" w:rsidR="00151BB7" w:rsidP="00151BB7" w:rsidRDefault="00151BB7" w14:paraId="4AB48737" w14:textId="0B1829D3">
            <w:pPr>
              <w:rPr>
                <w:i/>
              </w:rPr>
            </w:pPr>
            <w:r w:rsidRPr="007820DD">
              <w:rPr>
                <w:i/>
              </w:rPr>
              <w:t>FT 1 year</w:t>
            </w:r>
          </w:p>
        </w:tc>
      </w:tr>
      <w:tr w:rsidRPr="00BF1022" w:rsidR="00151BB7" w:rsidTr="15C7882E" w14:paraId="2056D785" w14:textId="77777777">
        <w:tc>
          <w:tcPr>
            <w:tcW w:w="3436" w:type="dxa"/>
            <w:tcMar/>
          </w:tcPr>
          <w:p w:rsidRPr="00BF1022" w:rsidR="00151BB7" w:rsidP="00151BB7" w:rsidRDefault="00151BB7" w14:paraId="0A693F2C" w14:textId="070612E1">
            <w:r w:rsidRPr="00BF1022">
              <w:t>Maximum period of registration:</w:t>
            </w:r>
          </w:p>
        </w:tc>
        <w:tc>
          <w:tcPr>
            <w:tcW w:w="5580" w:type="dxa"/>
            <w:tcMar/>
          </w:tcPr>
          <w:p w:rsidRPr="007820DD" w:rsidR="00151BB7" w:rsidP="00151BB7" w:rsidRDefault="00151BB7" w14:paraId="31763EE0" w14:textId="2C3E17BB">
            <w:pPr>
              <w:rPr>
                <w:i/>
              </w:rPr>
            </w:pPr>
            <w:r w:rsidRPr="007820DD">
              <w:rPr>
                <w:i/>
              </w:rPr>
              <w:t>FT 2 years</w:t>
            </w:r>
          </w:p>
        </w:tc>
      </w:tr>
      <w:tr w:rsidRPr="00BF1022" w:rsidR="00151BB7" w:rsidTr="15C7882E" w14:paraId="315211C4" w14:textId="77777777">
        <w:tc>
          <w:tcPr>
            <w:tcW w:w="3436" w:type="dxa"/>
            <w:tcMar/>
          </w:tcPr>
          <w:p w:rsidRPr="00BF1022" w:rsidR="00151BB7" w:rsidP="00151BB7" w:rsidRDefault="00151BB7" w14:paraId="3E96C004" w14:textId="77777777">
            <w:r w:rsidRPr="00BF1022">
              <w:t xml:space="preserve">Entry Requirements: </w:t>
            </w:r>
          </w:p>
        </w:tc>
        <w:tc>
          <w:tcPr>
            <w:tcW w:w="5580" w:type="dxa"/>
            <w:tcMar/>
          </w:tcPr>
          <w:p w:rsidRPr="007820DD" w:rsidR="00151BB7" w:rsidP="361E6F21" w:rsidRDefault="00151BB7" w14:paraId="4B08F2A9" w14:textId="5E71A66D" w14:noSpellErr="1">
            <w:pPr>
              <w:rPr>
                <w:i w:val="1"/>
                <w:iCs w:val="1"/>
              </w:rPr>
            </w:pPr>
            <w:r w:rsidR="361E6F21">
              <w:rPr/>
              <w:t>Completion of FD Pharmaceutical and Chemical Sciences (Pre-Pharmacy)</w:t>
            </w:r>
          </w:p>
        </w:tc>
      </w:tr>
      <w:tr w:rsidRPr="00BF1022" w:rsidR="00151BB7" w:rsidTr="15C7882E" w14:paraId="2D5500BF" w14:textId="77777777">
        <w:tc>
          <w:tcPr>
            <w:tcW w:w="3436" w:type="dxa"/>
            <w:tcMar/>
          </w:tcPr>
          <w:p w:rsidRPr="00BF1022" w:rsidR="00151BB7" w:rsidP="00151BB7" w:rsidRDefault="00151BB7" w14:paraId="348053E9" w14:textId="77777777">
            <w:r w:rsidRPr="00BF1022">
              <w:t>Programme Accredited by:</w:t>
            </w:r>
          </w:p>
          <w:p w:rsidRPr="00BF1022" w:rsidR="00151BB7" w:rsidP="00151BB7" w:rsidRDefault="00151BB7" w14:paraId="3A1FE4F7" w14:textId="77777777"/>
        </w:tc>
        <w:tc>
          <w:tcPr>
            <w:tcW w:w="5580" w:type="dxa"/>
            <w:tcMar/>
          </w:tcPr>
          <w:p w:rsidRPr="00B83849" w:rsidR="00151BB7" w:rsidP="15C7882E" w:rsidRDefault="00151BB7" w14:paraId="749FB0F8" w14:textId="786FE836">
            <w:pPr>
              <w:rPr>
                <w:i w:val="1"/>
                <w:iCs w:val="1"/>
                <w:color w:val="C00000"/>
              </w:rPr>
            </w:pPr>
            <w:r w:rsidRPr="15C7882E" w:rsidR="15C7882E">
              <w:rPr>
                <w:i w:val="1"/>
                <w:iCs w:val="1"/>
              </w:rPr>
              <w:t>The module “Regulatory Affairs in Pharmaceutical Science” is accredited by TOPRA</w:t>
            </w:r>
            <w:r w:rsidRPr="15C7882E" w:rsidR="15C7882E">
              <w:rPr>
                <w:i w:val="1"/>
                <w:iCs w:val="1"/>
                <w:color w:val="C00000"/>
              </w:rPr>
              <w:t xml:space="preserve"> </w:t>
            </w:r>
          </w:p>
        </w:tc>
      </w:tr>
      <w:tr w:rsidRPr="00BF1022" w:rsidR="00151BB7" w:rsidTr="15C7882E" w14:paraId="1D2A8CE1" w14:textId="77777777">
        <w:tc>
          <w:tcPr>
            <w:tcW w:w="3436" w:type="dxa"/>
            <w:tcMar/>
          </w:tcPr>
          <w:p w:rsidRPr="00BF1022" w:rsidR="00151BB7" w:rsidP="00151BB7" w:rsidRDefault="00151BB7" w14:paraId="310A7388" w14:textId="77777777">
            <w:r w:rsidRPr="00BF1022">
              <w:t>QAA Subject Benchmark Statements:</w:t>
            </w:r>
          </w:p>
          <w:p w:rsidRPr="00BF1022" w:rsidR="00151BB7" w:rsidP="00151BB7" w:rsidRDefault="00151BB7" w14:paraId="78FF0191" w14:textId="77777777"/>
        </w:tc>
        <w:tc>
          <w:tcPr>
            <w:tcW w:w="5580" w:type="dxa"/>
            <w:tcMar/>
          </w:tcPr>
          <w:p w:rsidRPr="00B83849" w:rsidR="00151BB7" w:rsidP="48492D71" w:rsidRDefault="48492D71" w14:paraId="074234F2" w14:textId="22F8F6C5">
            <w:pPr>
              <w:rPr>
                <w:rFonts w:eastAsia="Arial" w:cs="Arial"/>
                <w:color w:val="000000" w:themeColor="text1"/>
              </w:rPr>
            </w:pPr>
            <w:r w:rsidRPr="48492D71">
              <w:rPr>
                <w:rFonts w:eastAsia="Arial" w:cs="Arial"/>
                <w:color w:val="000000" w:themeColor="text1"/>
              </w:rPr>
              <w:t xml:space="preserve">The programme outcomes are referenced to the QAA subject benchmarks and the Framework for Higher Education Qualifications in England, </w:t>
            </w:r>
            <w:proofErr w:type="gramStart"/>
            <w:r w:rsidRPr="48492D71">
              <w:rPr>
                <w:rFonts w:eastAsia="Arial" w:cs="Arial"/>
                <w:color w:val="000000" w:themeColor="text1"/>
              </w:rPr>
              <w:t>Wales</w:t>
            </w:r>
            <w:proofErr w:type="gramEnd"/>
            <w:r w:rsidRPr="48492D71">
              <w:rPr>
                <w:rFonts w:eastAsia="Arial" w:cs="Arial"/>
                <w:color w:val="000000" w:themeColor="text1"/>
              </w:rPr>
              <w:t xml:space="preserve"> and Northern Ireland (2022), and relate to all students. </w:t>
            </w:r>
            <w:hyperlink r:id="rId11">
              <w:r w:rsidRPr="48492D71">
                <w:rPr>
                  <w:rStyle w:val="Hyperlink"/>
                  <w:rFonts w:eastAsia="Arial" w:cs="Arial"/>
                </w:rPr>
                <w:t>https://www.qaa.ac.uk/the-quality-code/subject-benchmark-statements/chemistry</w:t>
              </w:r>
            </w:hyperlink>
          </w:p>
          <w:p w:rsidRPr="00B83849" w:rsidR="00151BB7" w:rsidP="48492D71" w:rsidRDefault="00151BB7" w14:paraId="223D1A66" w14:textId="015FBEC9">
            <w:pPr>
              <w:rPr>
                <w:i/>
                <w:iCs/>
                <w:color w:val="C00000"/>
              </w:rPr>
            </w:pPr>
          </w:p>
        </w:tc>
      </w:tr>
      <w:tr w:rsidRPr="00BF1022" w:rsidR="00151BB7" w:rsidTr="15C7882E" w14:paraId="53E5FC2C" w14:textId="77777777">
        <w:tc>
          <w:tcPr>
            <w:tcW w:w="3436" w:type="dxa"/>
            <w:tcMar/>
          </w:tcPr>
          <w:p w:rsidRPr="00BF1022" w:rsidR="00151BB7" w:rsidP="00151BB7" w:rsidRDefault="00151BB7" w14:paraId="046B54B4" w14:textId="77777777">
            <w:r w:rsidRPr="00BF1022">
              <w:t>Approved Variants:</w:t>
            </w:r>
          </w:p>
        </w:tc>
        <w:tc>
          <w:tcPr>
            <w:tcW w:w="5580" w:type="dxa"/>
            <w:tcMar/>
          </w:tcPr>
          <w:p w:rsidRPr="00BF1022" w:rsidR="00151BB7" w:rsidP="00151BB7" w:rsidRDefault="00151BB7" w14:paraId="249D4360" w14:textId="77777777">
            <w:pPr>
              <w:rPr>
                <w:i/>
                <w:color w:val="FF0000"/>
              </w:rPr>
            </w:pPr>
          </w:p>
          <w:p w:rsidRPr="00BF1022" w:rsidR="00151BB7" w:rsidP="00151BB7" w:rsidRDefault="00151BB7" w14:paraId="402E8661" w14:textId="77777777">
            <w:pPr>
              <w:rPr>
                <w:i/>
                <w:color w:val="FF0000"/>
              </w:rPr>
            </w:pPr>
          </w:p>
        </w:tc>
      </w:tr>
      <w:tr w:rsidRPr="00BF1022" w:rsidR="00151BB7" w:rsidTr="15C7882E" w14:paraId="033C9415" w14:textId="77777777">
        <w:tc>
          <w:tcPr>
            <w:tcW w:w="3436" w:type="dxa"/>
            <w:tcMar/>
          </w:tcPr>
          <w:p w:rsidRPr="00BF1022" w:rsidR="00151BB7" w:rsidP="00151BB7" w:rsidRDefault="00151BB7" w14:paraId="39080205" w14:textId="77777777">
            <w:r w:rsidRPr="00BF1022">
              <w:t>UCAS Code:</w:t>
            </w:r>
          </w:p>
          <w:p w:rsidRPr="00BF1022" w:rsidR="00151BB7" w:rsidP="00151BB7" w:rsidRDefault="00151BB7" w14:paraId="03425216" w14:textId="77777777"/>
        </w:tc>
        <w:tc>
          <w:tcPr>
            <w:tcW w:w="5580" w:type="dxa"/>
            <w:tcMar/>
          </w:tcPr>
          <w:p w:rsidRPr="00BF1022" w:rsidR="00151BB7" w:rsidP="00151BB7" w:rsidRDefault="00151BB7" w14:paraId="2253C86C" w14:textId="77777777">
            <w:pPr>
              <w:rPr>
                <w:i/>
                <w:color w:val="FF0000"/>
              </w:rPr>
            </w:pPr>
          </w:p>
        </w:tc>
      </w:tr>
    </w:tbl>
    <w:p w:rsidRPr="00003008" w:rsidR="00003008" w:rsidP="00B83849" w:rsidRDefault="00003008" w14:paraId="57C423DD" w14:textId="25CC3DDD">
      <w:pPr>
        <w:rPr>
          <w:iCs/>
        </w:rPr>
      </w:pPr>
      <w:r w:rsidRPr="00B83849">
        <w:rPr>
          <w:iCs/>
        </w:rPr>
        <w:t>For Higher or Degree Apprenticeship proposals only (delete if not applicable)</w:t>
      </w:r>
    </w:p>
    <w:tbl>
      <w:tblPr>
        <w:tblStyle w:val="TableGrid"/>
        <w:tblW w:w="0" w:type="auto"/>
        <w:tblLook w:val="04A0" w:firstRow="1" w:lastRow="0" w:firstColumn="1" w:lastColumn="0" w:noHBand="0" w:noVBand="1"/>
      </w:tblPr>
      <w:tblGrid>
        <w:gridCol w:w="3436"/>
        <w:gridCol w:w="5580"/>
      </w:tblGrid>
      <w:tr w:rsidRPr="00BF1022" w:rsidR="00A92C9B" w:rsidTr="0B614D63" w14:paraId="3120C580" w14:textId="77777777">
        <w:tc>
          <w:tcPr>
            <w:tcW w:w="3436" w:type="dxa"/>
          </w:tcPr>
          <w:p w:rsidRPr="00BF1022" w:rsidR="00A92C9B" w:rsidP="00B83849" w:rsidRDefault="00A92C9B" w14:paraId="45A2BF14" w14:textId="77777777">
            <w:r w:rsidRPr="00BF1022">
              <w:t>Recruitment, Selection and Admission process:</w:t>
            </w:r>
          </w:p>
          <w:p w:rsidRPr="00BF1022" w:rsidR="00A92C9B" w:rsidP="00B83849" w:rsidRDefault="00A92C9B" w14:paraId="0F893FEE" w14:textId="77777777"/>
        </w:tc>
        <w:tc>
          <w:tcPr>
            <w:tcW w:w="5580" w:type="dxa"/>
          </w:tcPr>
          <w:p w:rsidR="00E51918" w:rsidP="0B614D63" w:rsidRDefault="0B614D63" w14:paraId="3EB30E31" w14:textId="3DBAD7A2">
            <w:pPr>
              <w:rPr>
                <w:rFonts w:ascii="Calibri" w:hAnsi="Calibri" w:cs="Arial"/>
              </w:rPr>
            </w:pPr>
            <w:r w:rsidRPr="0B614D63">
              <w:rPr>
                <w:rFonts w:cs="Arial"/>
              </w:rPr>
              <w:t>Pass in Foundation Degree in Pharmaceutical and Chemical Sciences, or pass 2</w:t>
            </w:r>
            <w:r w:rsidRPr="0B614D63">
              <w:rPr>
                <w:rFonts w:cs="Arial"/>
                <w:vertAlign w:val="superscript"/>
              </w:rPr>
              <w:t>nd</w:t>
            </w:r>
            <w:r w:rsidRPr="0B614D63">
              <w:rPr>
                <w:rFonts w:cs="Arial"/>
              </w:rPr>
              <w:t xml:space="preserve"> year </w:t>
            </w:r>
            <w:proofErr w:type="spellStart"/>
            <w:r w:rsidRPr="0B614D63">
              <w:rPr>
                <w:rFonts w:cs="Arial"/>
              </w:rPr>
              <w:t>MPharm</w:t>
            </w:r>
            <w:proofErr w:type="spellEnd"/>
            <w:r w:rsidRPr="0B614D63">
              <w:rPr>
                <w:rFonts w:cs="Arial"/>
              </w:rPr>
              <w:t xml:space="preserve"> programme but not meeting the progression requirements onto level 6 </w:t>
            </w:r>
            <w:proofErr w:type="spellStart"/>
            <w:proofErr w:type="gramStart"/>
            <w:r w:rsidRPr="0B614D63">
              <w:rPr>
                <w:rFonts w:cs="Arial"/>
              </w:rPr>
              <w:t>MPharm</w:t>
            </w:r>
            <w:proofErr w:type="spellEnd"/>
            <w:proofErr w:type="gramEnd"/>
          </w:p>
          <w:p w:rsidRPr="00BF1022" w:rsidR="00A92C9B" w:rsidP="00B83849" w:rsidRDefault="00A92C9B" w14:paraId="1F6642E3" w14:textId="13ABBE5F">
            <w:pPr>
              <w:rPr>
                <w:i/>
                <w:color w:val="FF0000"/>
              </w:rPr>
            </w:pPr>
          </w:p>
        </w:tc>
      </w:tr>
      <w:tr w:rsidRPr="00BF1022" w:rsidR="00A92C9B" w:rsidTr="0B614D63" w14:paraId="74391ED5" w14:textId="77777777">
        <w:tc>
          <w:tcPr>
            <w:tcW w:w="3436" w:type="dxa"/>
          </w:tcPr>
          <w:p w:rsidRPr="00BF1022" w:rsidR="00A92C9B" w:rsidP="00B83849" w:rsidRDefault="00026E9C" w14:paraId="51457A78" w14:textId="77777777">
            <w:r>
              <w:t>End Point Assessment Organisation(s)</w:t>
            </w:r>
            <w:r w:rsidRPr="00BF1022" w:rsidR="00A92C9B">
              <w:t>:</w:t>
            </w:r>
          </w:p>
        </w:tc>
        <w:tc>
          <w:tcPr>
            <w:tcW w:w="5580" w:type="dxa"/>
          </w:tcPr>
          <w:p w:rsidRPr="00BF1022" w:rsidR="00A92C9B" w:rsidP="00B83849" w:rsidRDefault="00A92C9B" w14:paraId="7178258F" w14:textId="77777777">
            <w:pPr>
              <w:rPr>
                <w:i/>
                <w:color w:val="FF0000"/>
              </w:rPr>
            </w:pPr>
          </w:p>
          <w:p w:rsidRPr="00BF1022" w:rsidR="00A92C9B" w:rsidP="00B83849" w:rsidRDefault="00A92C9B" w14:paraId="2945C23B" w14:textId="77777777">
            <w:pPr>
              <w:rPr>
                <w:i/>
                <w:color w:val="FF0000"/>
              </w:rPr>
            </w:pPr>
          </w:p>
        </w:tc>
      </w:tr>
    </w:tbl>
    <w:p w:rsidRPr="00DA2044" w:rsidR="00A92C9B" w:rsidP="00A92C9B" w:rsidRDefault="00A92C9B" w14:paraId="505F05A6" w14:textId="77777777">
      <w:pPr>
        <w:rPr>
          <w:rFonts w:cs="Arial"/>
          <w:b/>
        </w:rPr>
      </w:pPr>
    </w:p>
    <w:p w:rsidRPr="00B83849" w:rsidR="00A92C9B" w:rsidP="00B83849" w:rsidRDefault="00A92C9B" w14:paraId="0C55EBA3" w14:textId="4EC439CC">
      <w:pPr>
        <w:pStyle w:val="Heading2"/>
      </w:pPr>
      <w:r w:rsidRPr="000765B1">
        <w:t>SECTION 2: THE COURSE</w:t>
      </w:r>
    </w:p>
    <w:p w:rsidRPr="00B83849" w:rsidR="00A92C9B" w:rsidP="00B83849" w:rsidRDefault="00A92C9B" w14:paraId="6CA642FD" w14:textId="5C81BF93">
      <w:pPr>
        <w:pStyle w:val="Heading3"/>
      </w:pPr>
      <w:r w:rsidRPr="00B83849">
        <w:t xml:space="preserve">Aims of the </w:t>
      </w:r>
      <w:r w:rsidR="00DF523F">
        <w:t>Top-up year</w:t>
      </w:r>
    </w:p>
    <w:p w:rsidRPr="002D232B" w:rsidR="00FB627D" w:rsidP="00FB627D" w:rsidRDefault="00FB627D" w14:paraId="3AFA18D4" w14:textId="77777777">
      <w:pPr>
        <w:ind w:left="710" w:firstLine="10"/>
        <w:jc w:val="both"/>
        <w:rPr>
          <w:rFonts w:cs="Arial"/>
        </w:rPr>
      </w:pPr>
      <w:r w:rsidRPr="002D232B">
        <w:rPr>
          <w:rFonts w:cs="Arial"/>
        </w:rPr>
        <w:t>The main aims of the BSc (Honours) degree (in addition to those of the Foundation Degree) are:</w:t>
      </w:r>
    </w:p>
    <w:p w:rsidRPr="002D232B" w:rsidR="00FB627D" w:rsidP="00FB627D" w:rsidRDefault="0B614D63" w14:paraId="27975881" w14:textId="19242BF8">
      <w:pPr>
        <w:numPr>
          <w:ilvl w:val="0"/>
          <w:numId w:val="12"/>
        </w:numPr>
        <w:jc w:val="both"/>
        <w:rPr>
          <w:rFonts w:cs="Arial"/>
        </w:rPr>
      </w:pPr>
      <w:r w:rsidRPr="0B614D63">
        <w:rPr>
          <w:rFonts w:cs="Arial"/>
        </w:rPr>
        <w:t xml:space="preserve">To provide comprehensive understanding of principles and practices of pharmaceutical formulation and drug delivery with a focus on the </w:t>
      </w:r>
      <w:r w:rsidRPr="0B614D63">
        <w:rPr>
          <w:rFonts w:cs="Arial"/>
        </w:rPr>
        <w:lastRenderedPageBreak/>
        <w:t xml:space="preserve">development and characterisation of advanced dosage forms including small biologics. </w:t>
      </w:r>
    </w:p>
    <w:p w:rsidR="00FB1500" w:rsidP="00FB1500" w:rsidRDefault="0B614D63" w14:paraId="57A7F861" w14:textId="33BDEDF3">
      <w:pPr>
        <w:numPr>
          <w:ilvl w:val="0"/>
          <w:numId w:val="12"/>
        </w:numPr>
        <w:jc w:val="both"/>
        <w:rPr>
          <w:rFonts w:cs="Arial"/>
        </w:rPr>
      </w:pPr>
      <w:r w:rsidRPr="0B614D63">
        <w:rPr>
          <w:rFonts w:cs="Arial"/>
        </w:rPr>
        <w:t>To provide students with an in-depth knowledge and understanding of core national and international pharmaceutical regulatory affairs and their application in pharmaceutical manufacturing.</w:t>
      </w:r>
    </w:p>
    <w:p w:rsidRPr="00FB1500" w:rsidR="00FB1500" w:rsidP="00FB1500" w:rsidRDefault="0B614D63" w14:paraId="39659512" w14:textId="36B8A002">
      <w:pPr>
        <w:numPr>
          <w:ilvl w:val="0"/>
          <w:numId w:val="12"/>
        </w:numPr>
        <w:jc w:val="both"/>
        <w:rPr>
          <w:rFonts w:cs="Arial"/>
        </w:rPr>
      </w:pPr>
      <w:r w:rsidRPr="0B614D63">
        <w:rPr>
          <w:rFonts w:cs="Arial"/>
        </w:rPr>
        <w:t>To help students acquiring knowledge and skills necessary to develop and evaluate novel dosage forms for various therapeutic applications.</w:t>
      </w:r>
    </w:p>
    <w:p w:rsidRPr="002D232B" w:rsidR="00FB627D" w:rsidP="00FB627D" w:rsidRDefault="0B614D63" w14:paraId="742B1E62" w14:textId="2594F9FA">
      <w:pPr>
        <w:numPr>
          <w:ilvl w:val="0"/>
          <w:numId w:val="12"/>
        </w:numPr>
        <w:jc w:val="both"/>
        <w:rPr>
          <w:rFonts w:cs="Arial"/>
        </w:rPr>
      </w:pPr>
      <w:r w:rsidRPr="0B614D63">
        <w:rPr>
          <w:rFonts w:cs="Arial"/>
        </w:rPr>
        <w:t>To provide all students with the opportunities to develop their skills in searching for literature sources relating to specific areas of academic research.</w:t>
      </w:r>
    </w:p>
    <w:p w:rsidRPr="002D232B" w:rsidR="00FB627D" w:rsidP="00FB627D" w:rsidRDefault="0B614D63" w14:paraId="3539876B" w14:textId="3B43E536">
      <w:pPr>
        <w:numPr>
          <w:ilvl w:val="0"/>
          <w:numId w:val="12"/>
        </w:numPr>
        <w:jc w:val="both"/>
        <w:rPr>
          <w:rFonts w:cs="Arial"/>
        </w:rPr>
      </w:pPr>
      <w:r w:rsidRPr="0B614D63">
        <w:rPr>
          <w:rFonts w:cs="Arial"/>
        </w:rPr>
        <w:t>To develop critical thinking and problem solving through project work.</w:t>
      </w:r>
    </w:p>
    <w:p w:rsidR="00A92C9B" w:rsidP="00FB627D" w:rsidRDefault="0B614D63" w14:paraId="548A958F" w14:textId="4BF236EE">
      <w:pPr>
        <w:numPr>
          <w:ilvl w:val="0"/>
          <w:numId w:val="12"/>
        </w:numPr>
        <w:jc w:val="both"/>
        <w:rPr>
          <w:rFonts w:cs="Arial"/>
        </w:rPr>
      </w:pPr>
      <w:r w:rsidRPr="0B614D63">
        <w:rPr>
          <w:rFonts w:cs="Arial"/>
        </w:rPr>
        <w:t>To provide the students with the opportunities to develop their written and oral communications skills to be able to get across complex and detailed information to both specialist and non-specialist audiences.</w:t>
      </w:r>
    </w:p>
    <w:p w:rsidR="00FB627D" w:rsidP="00FB627D" w:rsidRDefault="00FB627D" w14:paraId="2C6B336E" w14:textId="27A0CDD1">
      <w:pPr>
        <w:ind w:left="710"/>
        <w:jc w:val="both"/>
        <w:rPr>
          <w:rFonts w:cs="Arial"/>
        </w:rPr>
      </w:pPr>
    </w:p>
    <w:p w:rsidRPr="00FB627D" w:rsidR="00FB627D" w:rsidP="00FB627D" w:rsidRDefault="00FB627D" w14:paraId="3FE0A581" w14:textId="77777777">
      <w:pPr>
        <w:ind w:left="710"/>
        <w:jc w:val="both"/>
        <w:rPr>
          <w:rFonts w:cs="Arial"/>
        </w:rPr>
      </w:pPr>
    </w:p>
    <w:p w:rsidRPr="00B83849" w:rsidR="00A92C9B" w:rsidP="00B83849" w:rsidRDefault="00A92C9B" w14:paraId="6BE15D8F" w14:textId="470E633A">
      <w:pPr>
        <w:pStyle w:val="Heading3"/>
      </w:pPr>
      <w:r w:rsidRPr="00B83849">
        <w:t>Intended Learning Outcomes</w:t>
      </w:r>
    </w:p>
    <w:p w:rsidRPr="00B83849" w:rsidR="00A92C9B" w:rsidP="00B83849" w:rsidRDefault="00FB627D" w14:paraId="29C9CBFA" w14:textId="03A5EB73">
      <w:pPr>
        <w:rPr>
          <w:color w:val="C00000"/>
        </w:rPr>
      </w:pPr>
      <w:r w:rsidRPr="002D232B">
        <w:rPr>
          <w:rFonts w:cs="Arial"/>
        </w:rPr>
        <w:t xml:space="preserve">The programme provides opportunities for students to develop and demonstrate knowledge, understanding and skills and other attributes in the following areas. On completion of the </w:t>
      </w:r>
      <w:r w:rsidRPr="002D232B" w:rsidR="00F00817">
        <w:rPr>
          <w:rFonts w:cs="Arial"/>
        </w:rPr>
        <w:t>BSc (</w:t>
      </w:r>
      <w:r w:rsidRPr="002D232B">
        <w:rPr>
          <w:rFonts w:cs="Arial"/>
        </w:rPr>
        <w:t xml:space="preserve">Honours) degree students will, in addition to the learning outcomes gained through the foundation degree programme, have gained an </w:t>
      </w:r>
      <w:proofErr w:type="gramStart"/>
      <w:r w:rsidRPr="002D232B">
        <w:rPr>
          <w:rFonts w:cs="Arial"/>
        </w:rPr>
        <w:t>in depth</w:t>
      </w:r>
      <w:proofErr w:type="gramEnd"/>
      <w:r w:rsidRPr="002D232B">
        <w:rPr>
          <w:rFonts w:cs="Arial"/>
        </w:rPr>
        <w:t xml:space="preserve"> knowledge and understanding of</w:t>
      </w:r>
      <w:r>
        <w:rPr>
          <w:rFonts w:cs="Arial"/>
        </w:rPr>
        <w:t>:</w:t>
      </w:r>
    </w:p>
    <w:p w:rsidRPr="00B83849" w:rsidR="00A92C9B" w:rsidP="00B83849" w:rsidRDefault="00A92C9B" w14:paraId="3DA30F0F" w14:textId="77777777">
      <w:pPr>
        <w:rPr>
          <w:color w:val="C00000"/>
        </w:rPr>
      </w:pPr>
    </w:p>
    <w:p w:rsidRPr="00DA2044" w:rsidR="00A92C9B" w:rsidP="00A92C9B" w:rsidRDefault="00A92C9B" w14:paraId="3385991A" w14:textId="77777777">
      <w:pPr>
        <w:ind w:left="720"/>
        <w:contextualSpacing/>
        <w:rPr>
          <w:rFonts w:cs="Arial"/>
        </w:rPr>
        <w:sectPr w:rsidRPr="00DA2044" w:rsidR="00A92C9B" w:rsidSect="00A62F3A">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docGrid w:linePitch="360"/>
        </w:sectPr>
      </w:pPr>
    </w:p>
    <w:p w:rsidR="00A92C9B" w:rsidP="00A92C9B" w:rsidRDefault="00A92C9B" w14:paraId="274F4E71" w14:textId="6B66F1BA">
      <w:pPr>
        <w:rPr>
          <w:rFonts w:cs="Arial"/>
          <w:b/>
        </w:rPr>
      </w:pPr>
    </w:p>
    <w:p w:rsidRPr="000765B1" w:rsidR="00B83849" w:rsidP="00B83849" w:rsidRDefault="00B83849" w14:paraId="31896ECC" w14:textId="77777777">
      <w:pPr>
        <w:pStyle w:val="Heading3"/>
        <w:rPr>
          <w:b w:val="0"/>
        </w:rPr>
      </w:pPr>
      <w:r w:rsidRPr="000765B1">
        <w:t>Programme Learning Outcomes</w:t>
      </w:r>
    </w:p>
    <w:p w:rsidRPr="00B83849" w:rsidR="00B83849" w:rsidP="00B83849" w:rsidRDefault="00B83849" w14:paraId="69711041" w14:textId="002BD976">
      <w:pPr>
        <w:rPr>
          <w:color w:val="C00000"/>
        </w:rPr>
      </w:pPr>
    </w:p>
    <w:tbl>
      <w:tblPr>
        <w:tblStyle w:val="TableGrid"/>
        <w:tblW w:w="0" w:type="auto"/>
        <w:tblLook w:val="04A0" w:firstRow="1" w:lastRow="0" w:firstColumn="1" w:lastColumn="0" w:noHBand="0" w:noVBand="1"/>
      </w:tblPr>
      <w:tblGrid>
        <w:gridCol w:w="815"/>
        <w:gridCol w:w="3898"/>
        <w:gridCol w:w="770"/>
        <w:gridCol w:w="3943"/>
        <w:gridCol w:w="753"/>
        <w:gridCol w:w="4947"/>
      </w:tblGrid>
      <w:tr w:rsidRPr="000765B1" w:rsidR="00A92C9B" w:rsidTr="361E6F21" w14:paraId="12B4F4E8" w14:textId="77777777">
        <w:tc>
          <w:tcPr>
            <w:tcW w:w="815" w:type="dxa"/>
            <w:tcMar/>
          </w:tcPr>
          <w:p w:rsidRPr="000765B1" w:rsidR="00A92C9B" w:rsidP="00A62F3A" w:rsidRDefault="00A92C9B" w14:paraId="472DF5B3" w14:textId="77777777">
            <w:pPr>
              <w:rPr>
                <w:rFonts w:cs="Arial"/>
                <w:b/>
                <w:sz w:val="22"/>
                <w:szCs w:val="22"/>
              </w:rPr>
            </w:pPr>
          </w:p>
        </w:tc>
        <w:tc>
          <w:tcPr>
            <w:tcW w:w="3898" w:type="dxa"/>
            <w:tcMar/>
          </w:tcPr>
          <w:p w:rsidRPr="00B83849" w:rsidR="00A92C9B" w:rsidP="00B83849" w:rsidRDefault="00A92C9B" w14:paraId="4937BAFB" w14:textId="77777777">
            <w:pPr>
              <w:rPr>
                <w:b/>
                <w:bCs/>
              </w:rPr>
            </w:pPr>
            <w:r w:rsidRPr="00B83849">
              <w:rPr>
                <w:b/>
                <w:bCs/>
              </w:rPr>
              <w:t>Knowledge and Understanding</w:t>
            </w:r>
          </w:p>
          <w:p w:rsidRPr="000765B1" w:rsidR="00A92C9B" w:rsidP="00B83849" w:rsidRDefault="00A92C9B" w14:paraId="7A0CF8AF" w14:textId="77777777"/>
          <w:p w:rsidRPr="000765B1" w:rsidR="00A92C9B" w:rsidP="00B83849" w:rsidRDefault="00A92C9B" w14:paraId="5EAD590B" w14:textId="77777777">
            <w:r w:rsidRPr="000765B1">
              <w:t>On completion of the course students will be able to:</w:t>
            </w:r>
          </w:p>
        </w:tc>
        <w:tc>
          <w:tcPr>
            <w:tcW w:w="770" w:type="dxa"/>
            <w:tcMar/>
          </w:tcPr>
          <w:p w:rsidRPr="000765B1" w:rsidR="00A92C9B" w:rsidP="00B83849" w:rsidRDefault="00A92C9B" w14:paraId="3B3DE46C" w14:textId="77777777"/>
        </w:tc>
        <w:tc>
          <w:tcPr>
            <w:tcW w:w="3943" w:type="dxa"/>
            <w:tcMar/>
          </w:tcPr>
          <w:p w:rsidRPr="00B83849" w:rsidR="00A92C9B" w:rsidP="00B83849" w:rsidRDefault="00A92C9B" w14:paraId="5070CC83" w14:textId="77777777">
            <w:pPr>
              <w:rPr>
                <w:b/>
                <w:bCs/>
              </w:rPr>
            </w:pPr>
            <w:r w:rsidRPr="00B83849">
              <w:rPr>
                <w:b/>
                <w:bCs/>
              </w:rPr>
              <w:t>Intellectual Skills</w:t>
            </w:r>
          </w:p>
          <w:p w:rsidRPr="000765B1" w:rsidR="00A92C9B" w:rsidP="00B83849" w:rsidRDefault="00A92C9B" w14:paraId="1262B029" w14:textId="77777777"/>
          <w:p w:rsidRPr="000765B1" w:rsidR="00A92C9B" w:rsidP="00B83849" w:rsidRDefault="00A92C9B" w14:paraId="6F0CBDF4" w14:textId="77777777">
            <w:r w:rsidRPr="000765B1">
              <w:t>On completion of the course students will be able to</w:t>
            </w:r>
          </w:p>
        </w:tc>
        <w:tc>
          <w:tcPr>
            <w:tcW w:w="753" w:type="dxa"/>
            <w:tcMar/>
          </w:tcPr>
          <w:p w:rsidRPr="000765B1" w:rsidR="00A92C9B" w:rsidP="00B83849" w:rsidRDefault="00A92C9B" w14:paraId="56E02829" w14:textId="77777777"/>
        </w:tc>
        <w:tc>
          <w:tcPr>
            <w:tcW w:w="4947" w:type="dxa"/>
            <w:tcMar/>
          </w:tcPr>
          <w:p w:rsidRPr="00B83849" w:rsidR="00A92C9B" w:rsidP="00B83849" w:rsidRDefault="00A92C9B" w14:paraId="707183BC" w14:textId="77777777">
            <w:pPr>
              <w:rPr>
                <w:b/>
                <w:bCs/>
              </w:rPr>
            </w:pPr>
            <w:r w:rsidRPr="00B83849">
              <w:rPr>
                <w:b/>
                <w:bCs/>
              </w:rPr>
              <w:t>Subject Practical Skills</w:t>
            </w:r>
          </w:p>
          <w:p w:rsidRPr="000765B1" w:rsidR="00A92C9B" w:rsidP="00B83849" w:rsidRDefault="00A92C9B" w14:paraId="4DD7B124" w14:textId="77777777"/>
          <w:p w:rsidRPr="000765B1" w:rsidR="00A92C9B" w:rsidP="00B83849" w:rsidRDefault="00A92C9B" w14:paraId="66B39701" w14:textId="77777777">
            <w:r w:rsidRPr="000765B1">
              <w:t>On completion of the course students will be able to</w:t>
            </w:r>
          </w:p>
        </w:tc>
      </w:tr>
      <w:tr w:rsidRPr="000765B1" w:rsidR="009D6F0D" w:rsidTr="361E6F21" w14:paraId="326EC52B" w14:textId="77777777">
        <w:tc>
          <w:tcPr>
            <w:tcW w:w="815" w:type="dxa"/>
            <w:tcMar/>
            <w:vAlign w:val="center"/>
          </w:tcPr>
          <w:p w:rsidRPr="00496012" w:rsidR="009D6F0D" w:rsidP="00496012" w:rsidRDefault="009D6F0D" w14:paraId="43241F34" w14:textId="77777777">
            <w:pPr>
              <w:rPr>
                <w:rFonts w:cs="Arial"/>
              </w:rPr>
            </w:pPr>
            <w:r w:rsidRPr="00496012">
              <w:rPr>
                <w:rFonts w:cs="Arial"/>
              </w:rPr>
              <w:t>A1</w:t>
            </w:r>
          </w:p>
        </w:tc>
        <w:tc>
          <w:tcPr>
            <w:tcW w:w="3898" w:type="dxa"/>
            <w:tcMar/>
            <w:vAlign w:val="center"/>
          </w:tcPr>
          <w:p w:rsidRPr="00496012" w:rsidR="009D6F0D" w:rsidP="00496012" w:rsidRDefault="2F66C1FA" w14:paraId="5BCDED33" w14:textId="1F41AB0C">
            <w:r w:rsidRPr="361E6F21" w:rsidR="361E6F21">
              <w:rPr>
                <w:rFonts w:cs="Arial"/>
              </w:rPr>
              <w:t xml:space="preserve">Demonstrate a comprehensive knowledge of the core areas of pharmaceutical science </w:t>
            </w:r>
            <w:r w:rsidRPr="361E6F21" w:rsidR="361E6F21">
              <w:rPr>
                <w:rFonts w:cs="Arial"/>
              </w:rPr>
              <w:t>including advanced</w:t>
            </w:r>
            <w:r w:rsidRPr="361E6F21" w:rsidR="361E6F21">
              <w:rPr>
                <w:rFonts w:cs="Arial"/>
              </w:rPr>
              <w:t xml:space="preserve"> formulations, and drug delivery. </w:t>
            </w:r>
          </w:p>
        </w:tc>
        <w:tc>
          <w:tcPr>
            <w:tcW w:w="770" w:type="dxa"/>
            <w:tcMar/>
            <w:vAlign w:val="center"/>
          </w:tcPr>
          <w:p w:rsidRPr="00496012" w:rsidR="009D6F0D" w:rsidP="00496012" w:rsidRDefault="009D6F0D" w14:paraId="0611992B" w14:textId="77777777">
            <w:pPr>
              <w:rPr>
                <w:rFonts w:cs="Arial"/>
              </w:rPr>
            </w:pPr>
            <w:r w:rsidRPr="00496012">
              <w:rPr>
                <w:rFonts w:cs="Arial"/>
              </w:rPr>
              <w:t>B1</w:t>
            </w:r>
          </w:p>
        </w:tc>
        <w:tc>
          <w:tcPr>
            <w:tcW w:w="3943" w:type="dxa"/>
            <w:tcMar/>
            <w:vAlign w:val="center"/>
          </w:tcPr>
          <w:p w:rsidRPr="00496012" w:rsidR="009D6F0D" w:rsidP="00496012" w:rsidRDefault="2F66C1FA" w14:paraId="6C2DBFB7" w14:textId="41D93E22">
            <w:pPr>
              <w:rPr>
                <w:rFonts w:cs="Arial"/>
              </w:rPr>
            </w:pPr>
            <w:r w:rsidRPr="361E6F21" w:rsidR="361E6F21">
              <w:rPr>
                <w:rFonts w:cs="Arial"/>
              </w:rPr>
              <w:t>Critically analyse and appraise both primary and secondary sources to test hypotheses, design experiments, and interpret results</w:t>
            </w:r>
          </w:p>
        </w:tc>
        <w:tc>
          <w:tcPr>
            <w:tcW w:w="753" w:type="dxa"/>
            <w:tcMar/>
            <w:vAlign w:val="center"/>
          </w:tcPr>
          <w:p w:rsidRPr="00496012" w:rsidR="009D6F0D" w:rsidP="00496012" w:rsidRDefault="009D6F0D" w14:paraId="3220B90E" w14:textId="23D5758A">
            <w:pPr>
              <w:rPr>
                <w:rFonts w:cs="Arial"/>
              </w:rPr>
            </w:pPr>
            <w:r w:rsidRPr="00496012">
              <w:rPr>
                <w:rFonts w:cs="Arial"/>
              </w:rPr>
              <w:t>C1</w:t>
            </w:r>
          </w:p>
        </w:tc>
        <w:tc>
          <w:tcPr>
            <w:tcW w:w="4947" w:type="dxa"/>
            <w:tcMar/>
            <w:vAlign w:val="center"/>
          </w:tcPr>
          <w:p w:rsidRPr="00496012" w:rsidR="009D6F0D" w:rsidP="00496012" w:rsidRDefault="00F32C90" w14:paraId="2C682561" w14:textId="38274E77">
            <w:pPr>
              <w:rPr>
                <w:rFonts w:cs="Arial"/>
              </w:rPr>
            </w:pPr>
            <w:r>
              <w:rPr>
                <w:rFonts w:cs="Arial"/>
              </w:rPr>
              <w:t xml:space="preserve">Formulate and </w:t>
            </w:r>
            <w:r w:rsidR="001772B1">
              <w:rPr>
                <w:rFonts w:cs="Arial"/>
              </w:rPr>
              <w:t>design</w:t>
            </w:r>
            <w:r>
              <w:rPr>
                <w:rFonts w:cs="Arial"/>
              </w:rPr>
              <w:t xml:space="preserve"> various drug delivery systems.</w:t>
            </w:r>
          </w:p>
        </w:tc>
      </w:tr>
      <w:tr w:rsidRPr="000765B1" w:rsidR="009D6F0D" w:rsidTr="361E6F21" w14:paraId="154A535A" w14:textId="77777777">
        <w:tc>
          <w:tcPr>
            <w:tcW w:w="815" w:type="dxa"/>
            <w:tcMar/>
            <w:vAlign w:val="center"/>
          </w:tcPr>
          <w:p w:rsidRPr="00496012" w:rsidR="009D6F0D" w:rsidP="00496012" w:rsidRDefault="009D6F0D" w14:paraId="5E8ECEAC" w14:textId="77777777">
            <w:pPr>
              <w:rPr>
                <w:rFonts w:cs="Arial"/>
              </w:rPr>
            </w:pPr>
            <w:r w:rsidRPr="00496012">
              <w:rPr>
                <w:rFonts w:cs="Arial"/>
              </w:rPr>
              <w:t>A2</w:t>
            </w:r>
          </w:p>
        </w:tc>
        <w:tc>
          <w:tcPr>
            <w:tcW w:w="3898" w:type="dxa"/>
            <w:tcMar/>
            <w:vAlign w:val="center"/>
          </w:tcPr>
          <w:p w:rsidRPr="00496012" w:rsidR="009D6F0D" w:rsidP="00496012" w:rsidRDefault="00E5424F" w14:paraId="279B8456" w14:textId="597D321A">
            <w:pPr>
              <w:rPr>
                <w:rFonts w:cs="Arial"/>
              </w:rPr>
            </w:pPr>
            <w:r w:rsidRPr="361E6F21" w:rsidR="361E6F21">
              <w:rPr>
                <w:rFonts w:cs="Arial"/>
              </w:rPr>
              <w:t xml:space="preserve">Appraise pharmaceutical approaches for preventing and treating diseases, including complications related to them, from both a clinical and pharmaceutical </w:t>
            </w:r>
            <w:r w:rsidRPr="361E6F21" w:rsidR="361E6F21">
              <w:rPr>
                <w:rFonts w:cs="Arial"/>
              </w:rPr>
              <w:t>viewpoint.</w:t>
            </w:r>
          </w:p>
        </w:tc>
        <w:tc>
          <w:tcPr>
            <w:tcW w:w="770" w:type="dxa"/>
            <w:tcMar/>
            <w:vAlign w:val="center"/>
          </w:tcPr>
          <w:p w:rsidRPr="00496012" w:rsidR="009D6F0D" w:rsidP="00496012" w:rsidRDefault="009D6F0D" w14:paraId="1430A7A5" w14:textId="3732BD63">
            <w:pPr>
              <w:rPr>
                <w:rFonts w:cs="Arial"/>
              </w:rPr>
            </w:pPr>
            <w:r w:rsidRPr="00496012">
              <w:rPr>
                <w:rFonts w:cs="Arial"/>
              </w:rPr>
              <w:t>B2</w:t>
            </w:r>
          </w:p>
        </w:tc>
        <w:tc>
          <w:tcPr>
            <w:tcW w:w="3943" w:type="dxa"/>
            <w:tcMar/>
            <w:vAlign w:val="center"/>
          </w:tcPr>
          <w:p w:rsidRPr="00496012" w:rsidR="009D6F0D" w:rsidP="00496012" w:rsidRDefault="0020714E" w14:paraId="299C1499" w14:textId="04B8B2C1">
            <w:pPr>
              <w:rPr>
                <w:rFonts w:cs="Arial"/>
              </w:rPr>
            </w:pPr>
            <w:r w:rsidRPr="00496012">
              <w:rPr>
                <w:rFonts w:cs="Arial"/>
              </w:rPr>
              <w:t>Apply c</w:t>
            </w:r>
            <w:r w:rsidRPr="00496012" w:rsidR="00864F7C">
              <w:rPr>
                <w:rFonts w:cs="Arial"/>
              </w:rPr>
              <w:t>ritical thinking and problem-solving skills, to analyse and evaluate complex scientific data and make informed decisions.</w:t>
            </w:r>
          </w:p>
        </w:tc>
        <w:tc>
          <w:tcPr>
            <w:tcW w:w="753" w:type="dxa"/>
            <w:tcMar/>
            <w:vAlign w:val="center"/>
          </w:tcPr>
          <w:p w:rsidRPr="00496012" w:rsidR="009D6F0D" w:rsidP="00496012" w:rsidRDefault="009D6F0D" w14:paraId="63CEF923" w14:textId="38A03B55">
            <w:pPr>
              <w:rPr>
                <w:rFonts w:cs="Arial"/>
              </w:rPr>
            </w:pPr>
            <w:r w:rsidRPr="00496012">
              <w:rPr>
                <w:rFonts w:cs="Arial"/>
              </w:rPr>
              <w:t>C2</w:t>
            </w:r>
          </w:p>
        </w:tc>
        <w:tc>
          <w:tcPr>
            <w:tcW w:w="4947" w:type="dxa"/>
            <w:tcMar/>
            <w:vAlign w:val="center"/>
          </w:tcPr>
          <w:p w:rsidRPr="00496012" w:rsidR="009D6F0D" w:rsidP="00496012" w:rsidRDefault="2F66C1FA" w14:paraId="16389F77" w14:textId="0CE4F645">
            <w:pPr>
              <w:rPr>
                <w:rFonts w:cs="Arial"/>
              </w:rPr>
            </w:pPr>
            <w:r w:rsidRPr="361E6F21" w:rsidR="361E6F21">
              <w:rPr>
                <w:rFonts w:cs="Arial"/>
              </w:rPr>
              <w:t>Carry out COSHH safety assessments for any experiment and perform laboratory techniques safely, sustainably and effectively.</w:t>
            </w:r>
          </w:p>
        </w:tc>
      </w:tr>
      <w:tr w:rsidRPr="000765B1" w:rsidR="009D6F0D" w:rsidTr="361E6F21" w14:paraId="346A8E4D" w14:textId="77777777">
        <w:tc>
          <w:tcPr>
            <w:tcW w:w="815" w:type="dxa"/>
            <w:tcMar/>
            <w:vAlign w:val="center"/>
          </w:tcPr>
          <w:p w:rsidRPr="00496012" w:rsidR="009D6F0D" w:rsidP="00496012" w:rsidRDefault="009D6F0D" w14:paraId="5F6C633C" w14:textId="77777777">
            <w:pPr>
              <w:rPr>
                <w:rFonts w:cs="Arial"/>
              </w:rPr>
            </w:pPr>
            <w:r w:rsidRPr="00496012">
              <w:rPr>
                <w:rFonts w:cs="Arial"/>
              </w:rPr>
              <w:t>A3</w:t>
            </w:r>
          </w:p>
        </w:tc>
        <w:tc>
          <w:tcPr>
            <w:tcW w:w="3898" w:type="dxa"/>
            <w:tcMar/>
            <w:vAlign w:val="center"/>
          </w:tcPr>
          <w:p w:rsidRPr="00496012" w:rsidR="009D6F0D" w:rsidP="00496012" w:rsidRDefault="009D6F0D" w14:paraId="51F32697" w14:textId="6B0B0E30">
            <w:pPr>
              <w:rPr>
                <w:rFonts w:cs="Arial"/>
              </w:rPr>
            </w:pPr>
            <w:r w:rsidRPr="00496012">
              <w:rPr>
                <w:rFonts w:cs="Arial"/>
              </w:rPr>
              <w:t xml:space="preserve">Competently and safely use a variety of modern scientific instruments </w:t>
            </w:r>
            <w:r w:rsidRPr="00496012" w:rsidR="00864F7C">
              <w:rPr>
                <w:rFonts w:cs="Arial"/>
              </w:rPr>
              <w:t>techniques</w:t>
            </w:r>
            <w:r w:rsidRPr="00496012">
              <w:rPr>
                <w:rFonts w:cs="Arial"/>
              </w:rPr>
              <w:t xml:space="preserve"> specific to areas of </w:t>
            </w:r>
            <w:r w:rsidRPr="00496012" w:rsidR="00F00817">
              <w:rPr>
                <w:rFonts w:cs="Arial"/>
              </w:rPr>
              <w:t>pharmaceutical</w:t>
            </w:r>
            <w:r w:rsidR="00F00817">
              <w:rPr>
                <w:rFonts w:cs="Arial"/>
              </w:rPr>
              <w:t>s.</w:t>
            </w:r>
          </w:p>
          <w:p w:rsidRPr="00496012" w:rsidR="009D6F0D" w:rsidP="00496012" w:rsidRDefault="009D6F0D" w14:paraId="5C27CFD5" w14:textId="77777777">
            <w:pPr>
              <w:rPr>
                <w:rFonts w:cs="Arial"/>
              </w:rPr>
            </w:pPr>
          </w:p>
        </w:tc>
        <w:tc>
          <w:tcPr>
            <w:tcW w:w="770" w:type="dxa"/>
            <w:tcMar/>
            <w:vAlign w:val="center"/>
          </w:tcPr>
          <w:p w:rsidRPr="00496012" w:rsidR="009D6F0D" w:rsidP="00496012" w:rsidRDefault="009D6F0D" w14:paraId="6FF84804" w14:textId="77777777">
            <w:pPr>
              <w:rPr>
                <w:rFonts w:cs="Arial"/>
              </w:rPr>
            </w:pPr>
          </w:p>
          <w:p w:rsidRPr="00496012" w:rsidR="009D6F0D" w:rsidP="00496012" w:rsidRDefault="009D6F0D" w14:paraId="7E5D12D0" w14:textId="44CC7F77">
            <w:pPr>
              <w:rPr>
                <w:rFonts w:cs="Arial"/>
              </w:rPr>
            </w:pPr>
            <w:r w:rsidRPr="00496012">
              <w:rPr>
                <w:rFonts w:cs="Arial"/>
              </w:rPr>
              <w:t>B3</w:t>
            </w:r>
          </w:p>
        </w:tc>
        <w:tc>
          <w:tcPr>
            <w:tcW w:w="3943" w:type="dxa"/>
            <w:tcMar/>
            <w:vAlign w:val="center"/>
          </w:tcPr>
          <w:p w:rsidRPr="00496012" w:rsidR="009D6F0D" w:rsidP="2F66C1FA" w:rsidRDefault="2F66C1FA" w14:paraId="53A7C01B" w14:textId="69C7A282">
            <w:pPr>
              <w:rPr>
                <w:rFonts w:cs="Arial"/>
              </w:rPr>
            </w:pPr>
            <w:r w:rsidRPr="361E6F21" w:rsidR="361E6F21">
              <w:rPr>
                <w:rFonts w:cs="Arial"/>
              </w:rPr>
              <w:t>Plan and execute research projects efficiently and   demonstrate the ability to be independent, autonomous learners who have effective time management and organisation skills.</w:t>
            </w:r>
          </w:p>
        </w:tc>
        <w:tc>
          <w:tcPr>
            <w:tcW w:w="753" w:type="dxa"/>
            <w:tcMar/>
            <w:vAlign w:val="center"/>
          </w:tcPr>
          <w:p w:rsidRPr="00496012" w:rsidR="009D6F0D" w:rsidP="00496012" w:rsidRDefault="009D6F0D" w14:paraId="48002731" w14:textId="77777777">
            <w:pPr>
              <w:rPr>
                <w:rFonts w:cs="Arial"/>
              </w:rPr>
            </w:pPr>
          </w:p>
          <w:p w:rsidRPr="00496012" w:rsidR="009D6F0D" w:rsidP="00496012" w:rsidRDefault="009D6F0D" w14:paraId="6581A01A" w14:textId="305C54F9">
            <w:pPr>
              <w:rPr>
                <w:rFonts w:cs="Arial"/>
              </w:rPr>
            </w:pPr>
            <w:r w:rsidRPr="00496012">
              <w:rPr>
                <w:rFonts w:cs="Arial"/>
              </w:rPr>
              <w:t>C3</w:t>
            </w:r>
          </w:p>
        </w:tc>
        <w:tc>
          <w:tcPr>
            <w:tcW w:w="4947" w:type="dxa"/>
            <w:tcMar/>
            <w:vAlign w:val="center"/>
          </w:tcPr>
          <w:p w:rsidRPr="00496012" w:rsidR="009D6F0D" w:rsidP="00496012" w:rsidRDefault="009D6F0D" w14:paraId="2FD0040F" w14:textId="77777777">
            <w:pPr>
              <w:rPr>
                <w:rFonts w:cs="Arial"/>
              </w:rPr>
            </w:pPr>
          </w:p>
          <w:p w:rsidRPr="00496012" w:rsidR="009D6F0D" w:rsidP="00496012" w:rsidRDefault="009D6F0D" w14:paraId="38E7EC8C" w14:textId="33CEB954">
            <w:pPr>
              <w:rPr>
                <w:rFonts w:cs="Arial"/>
              </w:rPr>
            </w:pPr>
            <w:r w:rsidRPr="361E6F21" w:rsidR="361E6F21">
              <w:rPr>
                <w:rFonts w:cs="Arial"/>
              </w:rPr>
              <w:t>Plan, conduct and report on complex experiments, research project and Marketing authorisation application (MAA).</w:t>
            </w:r>
          </w:p>
        </w:tc>
      </w:tr>
      <w:tr w:rsidRPr="000765B1" w:rsidR="009D6F0D" w:rsidTr="361E6F21" w14:paraId="328082EC" w14:textId="77777777">
        <w:tc>
          <w:tcPr>
            <w:tcW w:w="815" w:type="dxa"/>
            <w:tcMar/>
            <w:vAlign w:val="center"/>
          </w:tcPr>
          <w:p w:rsidRPr="00496012" w:rsidR="009D6F0D" w:rsidP="00496012" w:rsidRDefault="009D6F0D" w14:paraId="76E1F8D6" w14:textId="77777777">
            <w:pPr>
              <w:rPr>
                <w:rFonts w:cs="Arial"/>
              </w:rPr>
            </w:pPr>
            <w:r w:rsidRPr="00496012">
              <w:rPr>
                <w:rFonts w:cs="Arial"/>
              </w:rPr>
              <w:lastRenderedPageBreak/>
              <w:t>A4</w:t>
            </w:r>
          </w:p>
        </w:tc>
        <w:tc>
          <w:tcPr>
            <w:tcW w:w="3898" w:type="dxa"/>
            <w:tcMar/>
            <w:vAlign w:val="center"/>
          </w:tcPr>
          <w:p w:rsidRPr="00496012" w:rsidR="009D6F0D" w:rsidP="00496012" w:rsidRDefault="009D6F0D" w14:paraId="7362E25B" w14:textId="26864A30">
            <w:pPr>
              <w:rPr>
                <w:rFonts w:cs="Arial"/>
              </w:rPr>
            </w:pPr>
            <w:r w:rsidRPr="361E6F21" w:rsidR="361E6F21">
              <w:rPr>
                <w:rFonts w:cs="Arial"/>
              </w:rPr>
              <w:t xml:space="preserve">Demonstrate a good knowledge of the regulations applicable to the development, testing and marketing of pharmaceutical products. </w:t>
            </w:r>
            <w:r w:rsidR="361E6F21">
              <w:rPr/>
              <w:t>Interpret and use relevant guidelines for example those from the ICH, EMA, and MHRA</w:t>
            </w:r>
          </w:p>
          <w:p w:rsidRPr="00496012" w:rsidR="009D6F0D" w:rsidP="00496012" w:rsidRDefault="009D6F0D" w14:paraId="561413EA" w14:textId="77777777">
            <w:pPr>
              <w:rPr>
                <w:rFonts w:cs="Arial"/>
              </w:rPr>
            </w:pPr>
          </w:p>
        </w:tc>
        <w:tc>
          <w:tcPr>
            <w:tcW w:w="770" w:type="dxa"/>
            <w:tcMar/>
            <w:vAlign w:val="center"/>
          </w:tcPr>
          <w:p w:rsidRPr="00496012" w:rsidR="009D6F0D" w:rsidP="00496012" w:rsidRDefault="009D6F0D" w14:paraId="207ED8FD" w14:textId="77777777">
            <w:pPr>
              <w:rPr>
                <w:rFonts w:cs="Arial"/>
              </w:rPr>
            </w:pPr>
          </w:p>
          <w:p w:rsidRPr="00496012" w:rsidR="009D6F0D" w:rsidP="00496012" w:rsidRDefault="009D6F0D" w14:paraId="5B4CE0AE" w14:textId="314B745B">
            <w:pPr>
              <w:rPr>
                <w:rFonts w:cs="Arial"/>
              </w:rPr>
            </w:pPr>
            <w:r w:rsidRPr="00496012">
              <w:rPr>
                <w:rFonts w:cs="Arial"/>
              </w:rPr>
              <w:t>B4</w:t>
            </w:r>
          </w:p>
        </w:tc>
        <w:tc>
          <w:tcPr>
            <w:tcW w:w="3943" w:type="dxa"/>
            <w:tcMar/>
            <w:vAlign w:val="center"/>
          </w:tcPr>
          <w:p w:rsidRPr="00496012" w:rsidR="009D6F0D" w:rsidP="00496012" w:rsidRDefault="009D6F0D" w14:paraId="50D968C4" w14:textId="77777777">
            <w:pPr>
              <w:rPr>
                <w:rFonts w:cs="Arial"/>
              </w:rPr>
            </w:pPr>
          </w:p>
          <w:p w:rsidRPr="00496012" w:rsidR="009D6F0D" w:rsidP="00496012" w:rsidRDefault="009D6F0D" w14:paraId="2F5469E6" w14:textId="3F9504B7">
            <w:pPr>
              <w:rPr>
                <w:rFonts w:cs="Arial"/>
              </w:rPr>
            </w:pPr>
            <w:r w:rsidRPr="00496012">
              <w:rPr>
                <w:rFonts w:cs="Arial"/>
              </w:rPr>
              <w:t>Assemble data from a variety of sources and discern and establish connections and contradictions.</w:t>
            </w:r>
          </w:p>
        </w:tc>
        <w:tc>
          <w:tcPr>
            <w:tcW w:w="753" w:type="dxa"/>
            <w:tcMar/>
            <w:vAlign w:val="center"/>
          </w:tcPr>
          <w:p w:rsidRPr="00496012" w:rsidR="009D6F0D" w:rsidP="00496012" w:rsidRDefault="009D6F0D" w14:paraId="5D46C227" w14:textId="77777777">
            <w:pPr>
              <w:rPr>
                <w:rFonts w:cs="Arial"/>
              </w:rPr>
            </w:pPr>
          </w:p>
          <w:p w:rsidRPr="00496012" w:rsidR="009D6F0D" w:rsidP="00496012" w:rsidRDefault="009D6F0D" w14:paraId="546F6B9A" w14:textId="45848BD5">
            <w:pPr>
              <w:rPr>
                <w:rFonts w:cs="Arial"/>
              </w:rPr>
            </w:pPr>
            <w:r w:rsidRPr="00496012">
              <w:rPr>
                <w:rFonts w:cs="Arial"/>
              </w:rPr>
              <w:t>C4</w:t>
            </w:r>
          </w:p>
        </w:tc>
        <w:tc>
          <w:tcPr>
            <w:tcW w:w="4947" w:type="dxa"/>
            <w:tcMar/>
            <w:vAlign w:val="center"/>
          </w:tcPr>
          <w:p w:rsidRPr="00496012" w:rsidR="0057046F" w:rsidP="361E6F21" w:rsidRDefault="0057046F" w14:paraId="6190953B" w14:noSpellErr="1" w14:textId="41EE1784">
            <w:pPr>
              <w:pStyle w:val="Normal"/>
              <w:rPr>
                <w:rFonts w:cs="Arial"/>
              </w:rPr>
            </w:pPr>
          </w:p>
          <w:p w:rsidRPr="00496012" w:rsidR="0057046F" w:rsidP="00496012" w:rsidRDefault="2F66C1FA" w14:paraId="517FE4FC" w14:textId="38936B3A">
            <w:pPr>
              <w:rPr>
                <w:rFonts w:cs="Arial"/>
              </w:rPr>
            </w:pPr>
            <w:r w:rsidRPr="361E6F21" w:rsidR="361E6F21">
              <w:rPr>
                <w:rFonts w:cs="Arial"/>
              </w:rPr>
              <w:t>Navigate the drug development process and apply the regulatory requirements for drug development processes.</w:t>
            </w:r>
          </w:p>
        </w:tc>
      </w:tr>
    </w:tbl>
    <w:p w:rsidRPr="00DA2044" w:rsidR="00A92C9B" w:rsidP="00A92C9B" w:rsidRDefault="00A92C9B" w14:paraId="08C47344" w14:textId="77777777">
      <w:pPr>
        <w:rPr>
          <w:rFonts w:cs="Arial"/>
        </w:rPr>
      </w:pPr>
    </w:p>
    <w:p w:rsidRPr="00DA2044" w:rsidR="00A92C9B" w:rsidP="00A92C9B" w:rsidRDefault="00A92C9B" w14:paraId="7386A40F" w14:textId="77777777">
      <w:pPr>
        <w:rPr>
          <w:rFonts w:cs="Arial"/>
        </w:rPr>
      </w:pPr>
    </w:p>
    <w:p w:rsidR="00C773D7" w:rsidP="00A92C9B" w:rsidRDefault="00C773D7" w14:paraId="7B22B203" w14:textId="77777777">
      <w:pPr>
        <w:rPr>
          <w:rFonts w:cs="Arial"/>
        </w:rPr>
        <w:sectPr w:rsidR="00C773D7" w:rsidSect="00A62F3A">
          <w:pgSz w:w="16838" w:h="11906" w:orient="landscape"/>
          <w:pgMar w:top="851" w:right="851" w:bottom="851" w:left="851" w:header="709" w:footer="709" w:gutter="0"/>
          <w:cols w:space="708"/>
          <w:docGrid w:linePitch="360"/>
        </w:sectPr>
      </w:pPr>
    </w:p>
    <w:p w:rsidR="00385F2B" w:rsidP="00B83849" w:rsidRDefault="00A92C9B" w14:paraId="3CC49452" w14:textId="0B638F0C">
      <w:r w:rsidRPr="00DA2044">
        <w:lastRenderedPageBreak/>
        <w:t xml:space="preserve">In addition to the programme learning outcomes identified overleaf, the programme of study defined in this programme specification will allow students to develop a range of </w:t>
      </w:r>
      <w:r w:rsidR="00880925">
        <w:t xml:space="preserve">key </w:t>
      </w:r>
      <w:r w:rsidR="00C42092">
        <w:t xml:space="preserve">skills </w:t>
      </w:r>
      <w:r w:rsidRPr="00DA2044">
        <w:t>as</w:t>
      </w:r>
      <w:r w:rsidR="00C42092">
        <w:t xml:space="preserve"> listed in the following </w:t>
      </w:r>
      <w:r w:rsidRPr="004C2050" w:rsidR="004C2050">
        <w:t>Graduate and Academic Success Framework</w:t>
      </w:r>
      <w:r w:rsidR="00C42092">
        <w:t xml:space="preserve">: </w:t>
      </w:r>
    </w:p>
    <w:p w:rsidR="00B83849" w:rsidP="00B83849" w:rsidRDefault="00B83849" w14:paraId="05736AF9" w14:textId="37DB7AFE">
      <w:pPr>
        <w:pStyle w:val="Heading3"/>
        <w:jc w:val="center"/>
      </w:pPr>
      <w:r w:rsidRPr="00EA3176">
        <w:t>Key Skills</w:t>
      </w:r>
    </w:p>
    <w:tbl>
      <w:tblPr>
        <w:tblStyle w:val="TableGrid"/>
        <w:tblW w:w="15417" w:type="dxa"/>
        <w:tblLayout w:type="fixed"/>
        <w:tblLook w:val="04A0" w:firstRow="1" w:lastRow="0" w:firstColumn="1" w:lastColumn="0" w:noHBand="0" w:noVBand="1"/>
      </w:tblPr>
      <w:tblGrid>
        <w:gridCol w:w="2202"/>
        <w:gridCol w:w="2202"/>
        <w:gridCol w:w="2203"/>
        <w:gridCol w:w="2202"/>
        <w:gridCol w:w="2203"/>
        <w:gridCol w:w="2202"/>
        <w:gridCol w:w="2203"/>
      </w:tblGrid>
      <w:tr w:rsidRPr="00EA3176" w:rsidR="00C95364" w:rsidTr="00B83849" w14:paraId="039FA9D6" w14:textId="77777777">
        <w:tc>
          <w:tcPr>
            <w:tcW w:w="2202" w:type="dxa"/>
          </w:tcPr>
          <w:p w:rsidRPr="00EA3176" w:rsidR="00C95364" w:rsidP="00B83849" w:rsidRDefault="00C95364" w14:paraId="3E40BADB" w14:textId="77777777">
            <w:r w:rsidRPr="00EA3176">
              <w:t>Self-Awareness Skills</w:t>
            </w:r>
          </w:p>
        </w:tc>
        <w:tc>
          <w:tcPr>
            <w:tcW w:w="2202" w:type="dxa"/>
          </w:tcPr>
          <w:p w:rsidRPr="00EA3176" w:rsidR="00C95364" w:rsidP="00B83849" w:rsidRDefault="00C95364" w14:paraId="544D3EAC" w14:textId="77777777">
            <w:r w:rsidRPr="00EA3176">
              <w:t>Communication Skills</w:t>
            </w:r>
          </w:p>
        </w:tc>
        <w:tc>
          <w:tcPr>
            <w:tcW w:w="2203" w:type="dxa"/>
          </w:tcPr>
          <w:p w:rsidRPr="00EA3176" w:rsidR="00C95364" w:rsidP="00B83849" w:rsidRDefault="00014170" w14:paraId="326A2187" w14:textId="621C7FCA">
            <w:r w:rsidRPr="00EA3176">
              <w:t>Digital and numerical skills</w:t>
            </w:r>
          </w:p>
        </w:tc>
        <w:tc>
          <w:tcPr>
            <w:tcW w:w="2202" w:type="dxa"/>
          </w:tcPr>
          <w:p w:rsidRPr="00EA3176" w:rsidR="00C95364" w:rsidP="00B83849" w:rsidRDefault="00744890" w14:paraId="2C95181A" w14:textId="76AAA80B">
            <w:r w:rsidRPr="00EA3176">
              <w:t>Interpersonal skills</w:t>
            </w:r>
          </w:p>
        </w:tc>
        <w:tc>
          <w:tcPr>
            <w:tcW w:w="2203" w:type="dxa"/>
          </w:tcPr>
          <w:p w:rsidRPr="00EA3176" w:rsidR="00C95364" w:rsidP="00B83849" w:rsidRDefault="00FB7D3F" w14:paraId="6ECA7209" w14:textId="2D359E18">
            <w:r w:rsidRPr="00EA3176">
              <w:t>Research Skills</w:t>
            </w:r>
          </w:p>
        </w:tc>
        <w:tc>
          <w:tcPr>
            <w:tcW w:w="2202" w:type="dxa"/>
          </w:tcPr>
          <w:p w:rsidRPr="00EA3176" w:rsidR="00C95364" w:rsidP="00B83849" w:rsidRDefault="0034485E" w14:paraId="6785C63E" w14:textId="78ED7EEC">
            <w:pPr>
              <w:rPr>
                <w:bCs/>
              </w:rPr>
            </w:pPr>
            <w:r w:rsidRPr="00EA3176">
              <w:rPr>
                <w:bCs/>
              </w:rPr>
              <w:t>Management and Leadership</w:t>
            </w:r>
          </w:p>
        </w:tc>
        <w:tc>
          <w:tcPr>
            <w:tcW w:w="2203" w:type="dxa"/>
          </w:tcPr>
          <w:p w:rsidRPr="00EA3176" w:rsidR="00C95364" w:rsidP="00B83849" w:rsidRDefault="00EA3176" w14:paraId="121325D9" w14:textId="3C7C5194">
            <w:pPr>
              <w:rPr>
                <w:bCs/>
              </w:rPr>
            </w:pPr>
            <w:r w:rsidRPr="00EA3176">
              <w:rPr>
                <w:bCs/>
              </w:rPr>
              <w:t>Creativity and problem-solving skills</w:t>
            </w:r>
          </w:p>
        </w:tc>
      </w:tr>
      <w:tr w:rsidRPr="00EA3176" w:rsidR="00C95364" w:rsidTr="00B83849" w14:paraId="0E3D5758" w14:textId="77777777">
        <w:tc>
          <w:tcPr>
            <w:tcW w:w="2202" w:type="dxa"/>
          </w:tcPr>
          <w:p w:rsidRPr="00EA3176" w:rsidR="00EA3176" w:rsidP="00B83849" w:rsidRDefault="00EA3176" w14:paraId="41BE0CAF" w14:textId="77777777">
            <w:pPr>
              <w:rPr>
                <w:rFonts w:eastAsiaTheme="minorHAnsi"/>
              </w:rPr>
            </w:pPr>
            <w:r w:rsidRPr="00EA3176">
              <w:rPr>
                <w:rFonts w:eastAsiaTheme="minorHAnsi"/>
              </w:rPr>
              <w:t xml:space="preserve">Take responsibility for own learning and plan for and record own personal </w:t>
            </w:r>
            <w:proofErr w:type="gramStart"/>
            <w:r w:rsidRPr="00EA3176">
              <w:rPr>
                <w:rFonts w:eastAsiaTheme="minorHAnsi"/>
              </w:rPr>
              <w:t>development</w:t>
            </w:r>
            <w:proofErr w:type="gramEnd"/>
          </w:p>
          <w:p w:rsidRPr="00EA3176" w:rsidR="00C95364" w:rsidP="00B83849" w:rsidRDefault="00C95364" w14:paraId="1F432C78" w14:textId="79E115EB"/>
        </w:tc>
        <w:tc>
          <w:tcPr>
            <w:tcW w:w="2202" w:type="dxa"/>
          </w:tcPr>
          <w:p w:rsidRPr="00B83849" w:rsidR="00C95364" w:rsidP="00B83849" w:rsidRDefault="00EA3176" w14:paraId="6F0DB422" w14:textId="52192C21">
            <w:pPr>
              <w:rPr>
                <w:rFonts w:eastAsiaTheme="minorHAnsi"/>
              </w:rPr>
            </w:pPr>
            <w:r w:rsidRPr="00EA3176">
              <w:rPr>
                <w:rFonts w:eastAsiaTheme="minorHAnsi"/>
              </w:rPr>
              <w:t xml:space="preserve">Synthesise information to express ideas clearly in writing and the spoken word to diverse and multiple audiences </w:t>
            </w:r>
          </w:p>
        </w:tc>
        <w:tc>
          <w:tcPr>
            <w:tcW w:w="2203" w:type="dxa"/>
          </w:tcPr>
          <w:p w:rsidRPr="00EA3176" w:rsidR="00EA3176" w:rsidP="00B83849" w:rsidRDefault="00EA3176" w14:paraId="66C9BADE" w14:textId="77777777">
            <w:pPr>
              <w:rPr>
                <w:rFonts w:eastAsiaTheme="minorHAnsi"/>
                <w:lang w:eastAsia="en-US"/>
              </w:rPr>
            </w:pPr>
            <w:r w:rsidRPr="00EA3176">
              <w:rPr>
                <w:rFonts w:eastAsiaTheme="minorHAnsi"/>
                <w:lang w:eastAsia="en-US"/>
              </w:rPr>
              <w:t xml:space="preserve">Handle and understand number as required for </w:t>
            </w:r>
            <w:proofErr w:type="gramStart"/>
            <w:r w:rsidRPr="00EA3176">
              <w:rPr>
                <w:rFonts w:eastAsiaTheme="minorHAnsi"/>
                <w:lang w:eastAsia="en-US"/>
              </w:rPr>
              <w:t>context</w:t>
            </w:r>
            <w:proofErr w:type="gramEnd"/>
          </w:p>
          <w:p w:rsidRPr="00EA3176" w:rsidR="00C95364" w:rsidP="00B83849" w:rsidRDefault="00C95364" w14:paraId="7BC4738F" w14:textId="4D3402FB"/>
        </w:tc>
        <w:tc>
          <w:tcPr>
            <w:tcW w:w="2202" w:type="dxa"/>
          </w:tcPr>
          <w:p w:rsidRPr="00EA3176" w:rsidR="00EA3176" w:rsidP="00B83849" w:rsidRDefault="00EA3176" w14:paraId="550BC35C" w14:textId="77777777">
            <w:pPr>
              <w:rPr>
                <w:rFonts w:eastAsiaTheme="minorHAnsi"/>
              </w:rPr>
            </w:pPr>
            <w:r w:rsidRPr="00EA3176">
              <w:rPr>
                <w:rFonts w:eastAsiaTheme="minorHAnsi"/>
              </w:rPr>
              <w:t xml:space="preserve">Work well with others in a group or </w:t>
            </w:r>
            <w:proofErr w:type="gramStart"/>
            <w:r w:rsidRPr="00EA3176">
              <w:rPr>
                <w:rFonts w:eastAsiaTheme="minorHAnsi"/>
              </w:rPr>
              <w:t>team</w:t>
            </w:r>
            <w:proofErr w:type="gramEnd"/>
          </w:p>
          <w:p w:rsidRPr="00EA3176" w:rsidR="00C95364" w:rsidP="00B83849" w:rsidRDefault="00C95364" w14:paraId="3A9234DA" w14:textId="79DDCDFB"/>
        </w:tc>
        <w:tc>
          <w:tcPr>
            <w:tcW w:w="2203" w:type="dxa"/>
          </w:tcPr>
          <w:p w:rsidRPr="00EA3176" w:rsidR="00EA3176" w:rsidP="00B83849" w:rsidRDefault="00EA3176" w14:paraId="7D9E0EB1" w14:textId="77777777">
            <w:pPr>
              <w:rPr>
                <w:rFonts w:eastAsiaTheme="minorHAnsi"/>
              </w:rPr>
            </w:pPr>
            <w:r w:rsidRPr="00EA3176">
              <w:rPr>
                <w:rFonts w:eastAsiaTheme="minorHAnsi"/>
              </w:rPr>
              <w:t xml:space="preserve">Identify and use effective ways to search and validate </w:t>
            </w:r>
            <w:proofErr w:type="gramStart"/>
            <w:r w:rsidRPr="00EA3176">
              <w:rPr>
                <w:rFonts w:eastAsiaTheme="minorHAnsi"/>
              </w:rPr>
              <w:t>information</w:t>
            </w:r>
            <w:proofErr w:type="gramEnd"/>
            <w:r w:rsidRPr="00EA3176">
              <w:rPr>
                <w:rFonts w:eastAsiaTheme="minorHAnsi"/>
              </w:rPr>
              <w:t xml:space="preserve">  </w:t>
            </w:r>
          </w:p>
          <w:p w:rsidRPr="00EA3176" w:rsidR="00C95364" w:rsidP="00B83849" w:rsidRDefault="00C95364" w14:paraId="16026B6F" w14:textId="19AF6C63"/>
        </w:tc>
        <w:tc>
          <w:tcPr>
            <w:tcW w:w="2202" w:type="dxa"/>
          </w:tcPr>
          <w:p w:rsidRPr="00EA3176" w:rsidR="00EA3176" w:rsidP="00B83849" w:rsidRDefault="00EA3176" w14:paraId="6E578AC9" w14:textId="2EDEC0BE">
            <w:pPr>
              <w:rPr>
                <w:rFonts w:eastAsiaTheme="minorHAnsi"/>
                <w:lang w:eastAsia="en-US"/>
              </w:rPr>
            </w:pPr>
            <w:r w:rsidRPr="00EA3176">
              <w:rPr>
                <w:rFonts w:eastAsiaTheme="minorHAnsi"/>
                <w:lang w:eastAsia="en-US"/>
              </w:rPr>
              <w:t>Seek opportunities to initiate and determine the scope of a task/</w:t>
            </w:r>
            <w:proofErr w:type="gramStart"/>
            <w:r w:rsidRPr="00EA3176">
              <w:rPr>
                <w:rFonts w:eastAsiaTheme="minorHAnsi"/>
                <w:lang w:eastAsia="en-US"/>
              </w:rPr>
              <w:t>project</w:t>
            </w:r>
            <w:proofErr w:type="gramEnd"/>
          </w:p>
          <w:p w:rsidRPr="00EA3176" w:rsidR="00C95364" w:rsidP="00B83849" w:rsidRDefault="00C95364" w14:paraId="75E04BCD" w14:textId="08CC1E34"/>
        </w:tc>
        <w:tc>
          <w:tcPr>
            <w:tcW w:w="2203" w:type="dxa"/>
          </w:tcPr>
          <w:p w:rsidRPr="00EA3176" w:rsidR="00EA3176" w:rsidP="00B83849" w:rsidRDefault="00EA3176" w14:paraId="3D91F4FB" w14:textId="77777777">
            <w:pPr>
              <w:rPr>
                <w:rFonts w:eastAsiaTheme="minorHAnsi"/>
                <w:color w:val="000000" w:themeColor="text1"/>
                <w:lang w:eastAsia="en-US"/>
              </w:rPr>
            </w:pPr>
            <w:r w:rsidRPr="00EA3176">
              <w:rPr>
                <w:rFonts w:eastAsiaTheme="minorHAnsi"/>
                <w:color w:val="000000" w:themeColor="text1"/>
                <w:lang w:eastAsia="en-US"/>
              </w:rPr>
              <w:t xml:space="preserve">View problems from a diverse range of perspectives to find </w:t>
            </w:r>
            <w:proofErr w:type="gramStart"/>
            <w:r w:rsidRPr="00EA3176">
              <w:rPr>
                <w:rFonts w:eastAsiaTheme="minorHAnsi"/>
                <w:color w:val="000000" w:themeColor="text1"/>
                <w:lang w:eastAsia="en-US"/>
              </w:rPr>
              <w:t>solutions</w:t>
            </w:r>
            <w:proofErr w:type="gramEnd"/>
            <w:r w:rsidRPr="00EA3176">
              <w:rPr>
                <w:rFonts w:eastAsiaTheme="minorHAnsi"/>
                <w:color w:val="000000" w:themeColor="text1"/>
                <w:lang w:eastAsia="en-US"/>
              </w:rPr>
              <w:t xml:space="preserve"> </w:t>
            </w:r>
          </w:p>
          <w:p w:rsidRPr="00EA3176" w:rsidR="00C95364" w:rsidP="00B83849" w:rsidRDefault="00C95364" w14:paraId="38C8E671" w14:textId="3A4F21B0"/>
        </w:tc>
      </w:tr>
      <w:tr w:rsidRPr="00EA3176" w:rsidR="00C95364" w:rsidTr="00B83849" w14:paraId="0AAC7CCF" w14:textId="77777777">
        <w:tc>
          <w:tcPr>
            <w:tcW w:w="2202" w:type="dxa"/>
          </w:tcPr>
          <w:p w:rsidRPr="00EA3176" w:rsidR="00EA3176" w:rsidP="00B83849" w:rsidRDefault="00EA3176" w14:paraId="70968929" w14:textId="77777777">
            <w:pPr>
              <w:rPr>
                <w:rFonts w:eastAsiaTheme="minorHAnsi"/>
              </w:rPr>
            </w:pPr>
            <w:r w:rsidRPr="00EA3176">
              <w:rPr>
                <w:rFonts w:eastAsiaTheme="minorHAnsi"/>
              </w:rPr>
              <w:t xml:space="preserve">Recognise own academic strengths and weaknesses, reflect on performance and progress and respond to </w:t>
            </w:r>
            <w:proofErr w:type="gramStart"/>
            <w:r w:rsidRPr="00EA3176">
              <w:rPr>
                <w:rFonts w:eastAsiaTheme="minorHAnsi"/>
              </w:rPr>
              <w:t>feedback</w:t>
            </w:r>
            <w:proofErr w:type="gramEnd"/>
          </w:p>
          <w:p w:rsidRPr="00EA3176" w:rsidR="00C95364" w:rsidP="00B83849" w:rsidRDefault="00C95364" w14:paraId="624C79B9" w14:textId="1A652E89"/>
        </w:tc>
        <w:tc>
          <w:tcPr>
            <w:tcW w:w="2202" w:type="dxa"/>
          </w:tcPr>
          <w:p w:rsidRPr="00EA3176" w:rsidR="00EA3176" w:rsidP="00B83849" w:rsidRDefault="00EA3176" w14:paraId="50016729" w14:textId="77777777">
            <w:pPr>
              <w:rPr>
                <w:rFonts w:eastAsiaTheme="minorHAnsi"/>
                <w:lang w:eastAsia="en-US"/>
              </w:rPr>
            </w:pPr>
            <w:r w:rsidRPr="00EA3176">
              <w:rPr>
                <w:rFonts w:eastAsiaTheme="minorHAnsi"/>
                <w:lang w:eastAsia="en-US"/>
              </w:rPr>
              <w:t xml:space="preserve">Present, challenge and defend ideas </w:t>
            </w:r>
            <w:proofErr w:type="gramStart"/>
            <w:r w:rsidRPr="00EA3176">
              <w:rPr>
                <w:rFonts w:eastAsiaTheme="minorHAnsi"/>
                <w:lang w:eastAsia="en-US"/>
              </w:rPr>
              <w:t>effectively</w:t>
            </w:r>
            <w:proofErr w:type="gramEnd"/>
          </w:p>
          <w:p w:rsidRPr="00EA3176" w:rsidR="00C95364" w:rsidP="00B83849" w:rsidRDefault="00C95364" w14:paraId="2AE6953C" w14:textId="14BFBA92"/>
        </w:tc>
        <w:tc>
          <w:tcPr>
            <w:tcW w:w="2203" w:type="dxa"/>
          </w:tcPr>
          <w:p w:rsidRPr="00EA3176" w:rsidR="00EA3176" w:rsidP="00B83849" w:rsidRDefault="00EA3176" w14:paraId="5B7A3E93" w14:textId="77777777">
            <w:pPr>
              <w:rPr>
                <w:rFonts w:eastAsiaTheme="minorHAnsi"/>
                <w:i/>
                <w:lang w:eastAsia="en-US"/>
              </w:rPr>
            </w:pPr>
            <w:r w:rsidRPr="00EA3176">
              <w:rPr>
                <w:rFonts w:eastAsiaTheme="minorHAnsi"/>
                <w:lang w:eastAsia="en-US"/>
              </w:rPr>
              <w:t xml:space="preserve">Summarise and visualise numerical </w:t>
            </w:r>
            <w:proofErr w:type="gramStart"/>
            <w:r w:rsidRPr="00EA3176">
              <w:rPr>
                <w:rFonts w:eastAsiaTheme="minorHAnsi"/>
                <w:lang w:eastAsia="en-US"/>
              </w:rPr>
              <w:t>data</w:t>
            </w:r>
            <w:proofErr w:type="gramEnd"/>
          </w:p>
          <w:p w:rsidRPr="00EA3176" w:rsidR="00C95364" w:rsidP="00B83849" w:rsidRDefault="00C95364" w14:paraId="6AF7EF44" w14:textId="610EEDA5"/>
        </w:tc>
        <w:tc>
          <w:tcPr>
            <w:tcW w:w="2202" w:type="dxa"/>
          </w:tcPr>
          <w:p w:rsidRPr="00EA3176" w:rsidR="00EA3176" w:rsidP="00B83849" w:rsidRDefault="00EA3176" w14:paraId="63CF269E" w14:textId="77777777">
            <w:pPr>
              <w:rPr>
                <w:rFonts w:eastAsiaTheme="minorHAnsi"/>
              </w:rPr>
            </w:pPr>
            <w:r w:rsidRPr="00EA3176">
              <w:rPr>
                <w:rFonts w:eastAsiaTheme="minorHAnsi"/>
              </w:rPr>
              <w:t xml:space="preserve">Work flexibly and respond to </w:t>
            </w:r>
            <w:proofErr w:type="gramStart"/>
            <w:r w:rsidRPr="00EA3176">
              <w:rPr>
                <w:rFonts w:eastAsiaTheme="minorHAnsi"/>
              </w:rPr>
              <w:t>change</w:t>
            </w:r>
            <w:proofErr w:type="gramEnd"/>
          </w:p>
          <w:p w:rsidRPr="00EA3176" w:rsidR="00C95364" w:rsidP="00B83849" w:rsidRDefault="00C95364" w14:paraId="44A3070D" w14:textId="75D0A9CC"/>
        </w:tc>
        <w:tc>
          <w:tcPr>
            <w:tcW w:w="2203" w:type="dxa"/>
          </w:tcPr>
          <w:p w:rsidRPr="00EA3176" w:rsidR="00EA3176" w:rsidP="00B83849" w:rsidRDefault="00EA3176" w14:paraId="4F7E5B5C" w14:textId="77777777">
            <w:pPr>
              <w:rPr>
                <w:rFonts w:eastAsiaTheme="minorHAnsi"/>
                <w:lang w:eastAsia="en-US"/>
              </w:rPr>
            </w:pPr>
            <w:r w:rsidRPr="00EA3176">
              <w:rPr>
                <w:rFonts w:eastAsiaTheme="minorHAnsi"/>
                <w:lang w:eastAsia="en-US"/>
              </w:rPr>
              <w:t xml:space="preserve">Critically evaluate information and use it </w:t>
            </w:r>
            <w:proofErr w:type="gramStart"/>
            <w:r w:rsidRPr="00EA3176">
              <w:rPr>
                <w:rFonts w:eastAsiaTheme="minorHAnsi"/>
                <w:lang w:eastAsia="en-US"/>
              </w:rPr>
              <w:t>appropriately</w:t>
            </w:r>
            <w:proofErr w:type="gramEnd"/>
          </w:p>
          <w:p w:rsidRPr="00EA3176" w:rsidR="00C95364" w:rsidP="00B83849" w:rsidRDefault="00C95364" w14:paraId="3D526799" w14:textId="31DC91C3"/>
        </w:tc>
        <w:tc>
          <w:tcPr>
            <w:tcW w:w="2202" w:type="dxa"/>
          </w:tcPr>
          <w:p w:rsidRPr="00B83849" w:rsidR="00C95364" w:rsidP="00B83849" w:rsidRDefault="00EA3176" w14:paraId="1D5D2550" w14:textId="78A7A2B0">
            <w:pPr>
              <w:rPr>
                <w:rFonts w:eastAsiaTheme="minorHAnsi"/>
                <w:lang w:eastAsia="en-US"/>
              </w:rPr>
            </w:pPr>
            <w:r w:rsidRPr="00EA3176">
              <w:rPr>
                <w:rFonts w:eastAsiaTheme="minorHAnsi"/>
                <w:lang w:eastAsia="en-US"/>
              </w:rPr>
              <w:t>Seek opportunities to identify and secure resources needed to undertake the task/project; efficiently schedule and manage the resources</w:t>
            </w:r>
          </w:p>
        </w:tc>
        <w:tc>
          <w:tcPr>
            <w:tcW w:w="2203" w:type="dxa"/>
          </w:tcPr>
          <w:p w:rsidRPr="00EA3176" w:rsidR="00EA3176" w:rsidP="00B83849" w:rsidRDefault="00EA3176" w14:paraId="3DB69576" w14:textId="77777777">
            <w:pPr>
              <w:rPr>
                <w:rFonts w:eastAsiaTheme="minorHAnsi"/>
                <w:color w:val="000000" w:themeColor="text1"/>
                <w:lang w:eastAsia="en-US"/>
              </w:rPr>
            </w:pPr>
            <w:r w:rsidRPr="00EA3176">
              <w:rPr>
                <w:rFonts w:eastAsiaTheme="minorHAnsi"/>
                <w:color w:val="000000" w:themeColor="text1"/>
                <w:lang w:eastAsia="en-US"/>
              </w:rPr>
              <w:t xml:space="preserve">Seek opportunities to address global and long-term </w:t>
            </w:r>
            <w:proofErr w:type="gramStart"/>
            <w:r w:rsidRPr="00EA3176">
              <w:rPr>
                <w:rFonts w:eastAsiaTheme="minorHAnsi"/>
                <w:color w:val="000000" w:themeColor="text1"/>
                <w:lang w:eastAsia="en-US"/>
              </w:rPr>
              <w:t>challenges</w:t>
            </w:r>
            <w:proofErr w:type="gramEnd"/>
            <w:r w:rsidRPr="00EA3176">
              <w:rPr>
                <w:rFonts w:eastAsiaTheme="minorHAnsi"/>
                <w:color w:val="000000" w:themeColor="text1"/>
                <w:lang w:eastAsia="en-US"/>
              </w:rPr>
              <w:t xml:space="preserve">  </w:t>
            </w:r>
          </w:p>
          <w:p w:rsidRPr="00EA3176" w:rsidR="00C95364" w:rsidP="00B83849" w:rsidRDefault="00C95364" w14:paraId="196D218A" w14:textId="4B12DF04"/>
        </w:tc>
      </w:tr>
      <w:tr w:rsidRPr="00EA3176" w:rsidR="00C95364" w:rsidTr="00B83849" w14:paraId="36BFA522" w14:textId="77777777">
        <w:tc>
          <w:tcPr>
            <w:tcW w:w="2202" w:type="dxa"/>
          </w:tcPr>
          <w:p w:rsidRPr="00B83849" w:rsidR="00C95364" w:rsidP="00B83849" w:rsidRDefault="00EA3176" w14:paraId="163CC43A" w14:textId="335901D2">
            <w:pPr>
              <w:rPr>
                <w:rFonts w:eastAsiaTheme="minorHAnsi"/>
              </w:rPr>
            </w:pPr>
            <w:r w:rsidRPr="00EA3176">
              <w:rPr>
                <w:rFonts w:eastAsiaTheme="minorHAnsi"/>
              </w:rPr>
              <w:t xml:space="preserve">Organise self effectively, agreeing and setting realistic targets, accessing support where appropriate and </w:t>
            </w:r>
            <w:r w:rsidRPr="00EA3176">
              <w:rPr>
                <w:rFonts w:eastAsiaTheme="minorHAnsi"/>
              </w:rPr>
              <w:lastRenderedPageBreak/>
              <w:t>managing time to achieve targets</w:t>
            </w:r>
          </w:p>
        </w:tc>
        <w:tc>
          <w:tcPr>
            <w:tcW w:w="2202" w:type="dxa"/>
          </w:tcPr>
          <w:p w:rsidRPr="00EA3176" w:rsidR="00EA3176" w:rsidP="00B83849" w:rsidRDefault="00EA3176" w14:paraId="25F4F4CC" w14:textId="77777777">
            <w:pPr>
              <w:rPr>
                <w:rFonts w:eastAsiaTheme="minorHAnsi"/>
                <w:lang w:eastAsia="en-US"/>
              </w:rPr>
            </w:pPr>
            <w:r w:rsidRPr="00EA3176">
              <w:rPr>
                <w:rFonts w:eastAsiaTheme="minorHAnsi"/>
                <w:lang w:eastAsia="en-US"/>
              </w:rPr>
              <w:lastRenderedPageBreak/>
              <w:t>Actively listen to ideas of others in an unbiased way</w:t>
            </w:r>
          </w:p>
          <w:p w:rsidRPr="00EA3176" w:rsidR="00C95364" w:rsidP="00B83849" w:rsidRDefault="00C95364" w14:paraId="3440B34C" w14:textId="09BF8433"/>
        </w:tc>
        <w:tc>
          <w:tcPr>
            <w:tcW w:w="2203" w:type="dxa"/>
          </w:tcPr>
          <w:p w:rsidRPr="00EA3176" w:rsidR="00EA3176" w:rsidP="00B83849" w:rsidRDefault="00EA3176" w14:paraId="6CAA04AF" w14:textId="77777777">
            <w:pPr>
              <w:rPr>
                <w:rFonts w:eastAsiaTheme="minorHAnsi"/>
                <w:i/>
                <w:lang w:eastAsia="en-US"/>
              </w:rPr>
            </w:pPr>
            <w:r w:rsidRPr="00EA3176">
              <w:rPr>
                <w:rFonts w:eastAsiaTheme="minorHAnsi"/>
                <w:lang w:eastAsia="en-US"/>
              </w:rPr>
              <w:t xml:space="preserve">Navigate, interact and contribute effectively, safely and legally with various digital platforms, including the </w:t>
            </w:r>
            <w:proofErr w:type="gramStart"/>
            <w:r w:rsidRPr="00EA3176">
              <w:rPr>
                <w:rFonts w:eastAsiaTheme="minorHAnsi"/>
                <w:lang w:eastAsia="en-US"/>
              </w:rPr>
              <w:t>web</w:t>
            </w:r>
            <w:proofErr w:type="gramEnd"/>
          </w:p>
          <w:p w:rsidRPr="00EA3176" w:rsidR="00C95364" w:rsidP="00B83849" w:rsidRDefault="00C95364" w14:paraId="312B365D" w14:textId="1721E0F3"/>
        </w:tc>
        <w:tc>
          <w:tcPr>
            <w:tcW w:w="2202" w:type="dxa"/>
          </w:tcPr>
          <w:p w:rsidRPr="00EA3176" w:rsidR="00EA3176" w:rsidP="00B83849" w:rsidRDefault="00EA3176" w14:paraId="290FE3A5" w14:textId="77777777">
            <w:pPr>
              <w:rPr>
                <w:rFonts w:eastAsiaTheme="minorHAnsi"/>
              </w:rPr>
            </w:pPr>
            <w:r w:rsidRPr="00EA3176">
              <w:rPr>
                <w:rFonts w:eastAsiaTheme="minorHAnsi"/>
              </w:rPr>
              <w:t xml:space="preserve">Discuss and debate with others and make concessions to reach </w:t>
            </w:r>
            <w:proofErr w:type="gramStart"/>
            <w:r w:rsidRPr="00EA3176">
              <w:rPr>
                <w:rFonts w:eastAsiaTheme="minorHAnsi"/>
              </w:rPr>
              <w:t>agreement</w:t>
            </w:r>
            <w:proofErr w:type="gramEnd"/>
          </w:p>
          <w:p w:rsidRPr="00EA3176" w:rsidR="00C95364" w:rsidP="00B83849" w:rsidRDefault="00C95364" w14:paraId="61D159C3" w14:textId="2FEFA1E0"/>
        </w:tc>
        <w:tc>
          <w:tcPr>
            <w:tcW w:w="2203" w:type="dxa"/>
          </w:tcPr>
          <w:p w:rsidRPr="00EA3176" w:rsidR="00EA3176" w:rsidP="00B83849" w:rsidRDefault="00EA3176" w14:paraId="6BC590FC" w14:textId="77777777">
            <w:pPr>
              <w:rPr>
                <w:rFonts w:eastAsiaTheme="minorHAnsi"/>
                <w:lang w:eastAsia="en-US"/>
              </w:rPr>
            </w:pPr>
            <w:r w:rsidRPr="00EA3176">
              <w:rPr>
                <w:rFonts w:eastAsiaTheme="minorHAnsi"/>
                <w:lang w:eastAsia="en-US"/>
              </w:rPr>
              <w:t xml:space="preserve">Apply the ethical requirements in both the access and use of </w:t>
            </w:r>
            <w:proofErr w:type="gramStart"/>
            <w:r w:rsidRPr="00EA3176">
              <w:rPr>
                <w:rFonts w:eastAsiaTheme="minorHAnsi"/>
                <w:lang w:eastAsia="en-US"/>
              </w:rPr>
              <w:t>information</w:t>
            </w:r>
            <w:proofErr w:type="gramEnd"/>
          </w:p>
          <w:p w:rsidRPr="00EA3176" w:rsidR="00C95364" w:rsidP="00B83849" w:rsidRDefault="00C95364" w14:paraId="376D6EB9" w14:textId="249980D1"/>
        </w:tc>
        <w:tc>
          <w:tcPr>
            <w:tcW w:w="2202" w:type="dxa"/>
          </w:tcPr>
          <w:p w:rsidRPr="00B83849" w:rsidR="00C95364" w:rsidP="00B83849" w:rsidRDefault="00EA3176" w14:paraId="7C3D83B9" w14:textId="2FAA4D02">
            <w:pPr>
              <w:rPr>
                <w:rFonts w:eastAsiaTheme="minorHAnsi"/>
                <w:lang w:eastAsia="en-US"/>
              </w:rPr>
            </w:pPr>
            <w:r w:rsidRPr="00EA3176">
              <w:rPr>
                <w:rFonts w:eastAsiaTheme="minorHAnsi"/>
                <w:lang w:eastAsia="en-US"/>
              </w:rPr>
              <w:t xml:space="preserve">Seek opportunities to set the direction, successfully complete and evaluate a task/project, </w:t>
            </w:r>
            <w:r w:rsidRPr="00EA3176">
              <w:rPr>
                <w:rFonts w:eastAsiaTheme="minorHAnsi"/>
                <w:lang w:eastAsia="en-US"/>
              </w:rPr>
              <w:lastRenderedPageBreak/>
              <w:t>revising the plan where necessary</w:t>
            </w:r>
          </w:p>
        </w:tc>
        <w:tc>
          <w:tcPr>
            <w:tcW w:w="2203" w:type="dxa"/>
          </w:tcPr>
          <w:p w:rsidRPr="00EA3176" w:rsidR="00EA3176" w:rsidP="00B83849" w:rsidRDefault="00EA3176" w14:paraId="1127B1B8" w14:textId="77777777">
            <w:pPr>
              <w:rPr>
                <w:rFonts w:eastAsiaTheme="minorHAnsi"/>
                <w:color w:val="000000" w:themeColor="text1"/>
                <w:lang w:eastAsia="en-US"/>
              </w:rPr>
            </w:pPr>
            <w:r w:rsidRPr="00EA3176">
              <w:rPr>
                <w:rFonts w:eastAsiaTheme="minorHAnsi"/>
                <w:color w:val="000000" w:themeColor="text1"/>
                <w:lang w:eastAsia="en-US"/>
              </w:rPr>
              <w:lastRenderedPageBreak/>
              <w:t xml:space="preserve">Imagine, create and exploit solutions and more abstract ideas, including experimentation and </w:t>
            </w:r>
            <w:proofErr w:type="gramStart"/>
            <w:r w:rsidRPr="00EA3176">
              <w:rPr>
                <w:rFonts w:eastAsiaTheme="minorHAnsi"/>
                <w:color w:val="000000" w:themeColor="text1"/>
                <w:lang w:eastAsia="en-US"/>
              </w:rPr>
              <w:t>risk-taking</w:t>
            </w:r>
            <w:proofErr w:type="gramEnd"/>
          </w:p>
          <w:p w:rsidRPr="00EA3176" w:rsidR="00C95364" w:rsidP="00B83849" w:rsidRDefault="00C95364" w14:paraId="5EF34C36" w14:textId="77777777"/>
        </w:tc>
      </w:tr>
      <w:tr w:rsidRPr="00EA3176" w:rsidR="00C95364" w:rsidTr="00B83849" w14:paraId="1DE2C7EB" w14:textId="77777777">
        <w:tc>
          <w:tcPr>
            <w:tcW w:w="2202" w:type="dxa"/>
          </w:tcPr>
          <w:p w:rsidRPr="00EA3176" w:rsidR="00C95364" w:rsidP="00B83849" w:rsidRDefault="00EA3176" w14:paraId="712EEA4E" w14:textId="4C96B283">
            <w:r w:rsidRPr="00EA3176">
              <w:rPr>
                <w:rFonts w:eastAsiaTheme="minorHAnsi"/>
              </w:rPr>
              <w:t>Work effectively without supervision in unfamiliar contexts</w:t>
            </w:r>
          </w:p>
        </w:tc>
        <w:tc>
          <w:tcPr>
            <w:tcW w:w="2202" w:type="dxa"/>
          </w:tcPr>
          <w:p w:rsidRPr="00EA3176" w:rsidR="00C95364" w:rsidP="00B83849" w:rsidRDefault="00C95364" w14:paraId="2FDFB430" w14:textId="77777777"/>
        </w:tc>
        <w:tc>
          <w:tcPr>
            <w:tcW w:w="2203" w:type="dxa"/>
          </w:tcPr>
          <w:p w:rsidRPr="00EA3176" w:rsidR="00EA3176" w:rsidP="00B83849" w:rsidRDefault="00EA3176" w14:paraId="3EFF24C4" w14:textId="77777777">
            <w:pPr>
              <w:rPr>
                <w:rFonts w:eastAsiaTheme="minorHAnsi"/>
                <w:lang w:eastAsia="en-US"/>
              </w:rPr>
            </w:pPr>
            <w:r w:rsidRPr="00EA3176">
              <w:rPr>
                <w:rFonts w:eastAsiaTheme="minorHAnsi"/>
                <w:lang w:eastAsia="en-US"/>
              </w:rPr>
              <w:t xml:space="preserve">Use personal and professional digital tools and </w:t>
            </w:r>
            <w:proofErr w:type="gramStart"/>
            <w:r w:rsidRPr="00EA3176">
              <w:rPr>
                <w:rFonts w:eastAsiaTheme="minorHAnsi"/>
                <w:lang w:eastAsia="en-US"/>
              </w:rPr>
              <w:t>environments</w:t>
            </w:r>
            <w:proofErr w:type="gramEnd"/>
            <w:r w:rsidRPr="00EA3176">
              <w:rPr>
                <w:rFonts w:eastAsiaTheme="minorHAnsi"/>
                <w:lang w:eastAsia="en-US"/>
              </w:rPr>
              <w:t xml:space="preserve"> </w:t>
            </w:r>
          </w:p>
          <w:p w:rsidRPr="00EA3176" w:rsidR="00C95364" w:rsidP="00B83849" w:rsidRDefault="00C95364" w14:paraId="34106709" w14:textId="5085A23F"/>
        </w:tc>
        <w:tc>
          <w:tcPr>
            <w:tcW w:w="2202" w:type="dxa"/>
          </w:tcPr>
          <w:p w:rsidRPr="00EA3176" w:rsidR="00EA3176" w:rsidP="00B83849" w:rsidRDefault="00EA3176" w14:paraId="3333AC7A" w14:textId="77777777">
            <w:pPr>
              <w:rPr>
                <w:rFonts w:eastAsiaTheme="minorHAnsi"/>
              </w:rPr>
            </w:pPr>
            <w:r w:rsidRPr="00EA3176">
              <w:rPr>
                <w:rFonts w:eastAsiaTheme="minorHAnsi"/>
              </w:rPr>
              <w:t xml:space="preserve">Give, accept and respond to constructive </w:t>
            </w:r>
            <w:proofErr w:type="gramStart"/>
            <w:r w:rsidRPr="00EA3176">
              <w:rPr>
                <w:rFonts w:eastAsiaTheme="minorHAnsi"/>
              </w:rPr>
              <w:t>feedback</w:t>
            </w:r>
            <w:proofErr w:type="gramEnd"/>
          </w:p>
          <w:p w:rsidRPr="00EA3176" w:rsidR="00C95364" w:rsidP="00B83849" w:rsidRDefault="00C95364" w14:paraId="744D96B0" w14:textId="0BEAFA01"/>
        </w:tc>
        <w:tc>
          <w:tcPr>
            <w:tcW w:w="2203" w:type="dxa"/>
          </w:tcPr>
          <w:p w:rsidRPr="00EA3176" w:rsidR="00EA3176" w:rsidP="00B83849" w:rsidRDefault="00EA3176" w14:paraId="07337870" w14:textId="77777777">
            <w:pPr>
              <w:rPr>
                <w:rFonts w:eastAsiaTheme="minorHAnsi"/>
                <w:lang w:eastAsia="en-US"/>
              </w:rPr>
            </w:pPr>
            <w:r w:rsidRPr="00EA3176">
              <w:rPr>
                <w:rFonts w:eastAsiaTheme="minorHAnsi"/>
                <w:lang w:eastAsia="en-US"/>
              </w:rPr>
              <w:t xml:space="preserve">Comply with legal requirements in both the access and use of </w:t>
            </w:r>
            <w:proofErr w:type="gramStart"/>
            <w:r w:rsidRPr="00EA3176">
              <w:rPr>
                <w:rFonts w:eastAsiaTheme="minorHAnsi"/>
                <w:lang w:eastAsia="en-US"/>
              </w:rPr>
              <w:t>information</w:t>
            </w:r>
            <w:proofErr w:type="gramEnd"/>
            <w:r w:rsidRPr="00EA3176">
              <w:rPr>
                <w:rFonts w:eastAsiaTheme="minorHAnsi"/>
                <w:lang w:eastAsia="en-US"/>
              </w:rPr>
              <w:t xml:space="preserve"> </w:t>
            </w:r>
          </w:p>
          <w:p w:rsidRPr="00EA3176" w:rsidR="00C95364" w:rsidP="00B83849" w:rsidRDefault="00C95364" w14:paraId="5F9AD6A5" w14:textId="6EDF69CE"/>
        </w:tc>
        <w:tc>
          <w:tcPr>
            <w:tcW w:w="2202" w:type="dxa"/>
          </w:tcPr>
          <w:p w:rsidRPr="00B83849" w:rsidR="00C95364" w:rsidP="00B83849" w:rsidRDefault="00EA3176" w14:paraId="522969C2" w14:textId="41B74A4D">
            <w:pPr>
              <w:rPr>
                <w:rFonts w:eastAsiaTheme="minorHAnsi"/>
                <w:lang w:eastAsia="en-US"/>
              </w:rPr>
            </w:pPr>
            <w:r w:rsidRPr="00EA3176">
              <w:rPr>
                <w:rFonts w:eastAsiaTheme="minorHAnsi"/>
                <w:lang w:eastAsia="en-US"/>
              </w:rPr>
              <w:t>Seek opportunities to motivate and direct others to enable an effective contribution from all diverse participants</w:t>
            </w:r>
          </w:p>
        </w:tc>
        <w:tc>
          <w:tcPr>
            <w:tcW w:w="2203" w:type="dxa"/>
          </w:tcPr>
          <w:p w:rsidRPr="00EA3176" w:rsidR="00EA3176" w:rsidP="00B83849" w:rsidRDefault="00EA3176" w14:paraId="3675872C" w14:textId="45742E0F">
            <w:pPr>
              <w:rPr>
                <w:rFonts w:eastAsiaTheme="minorHAnsi"/>
                <w:color w:val="000000" w:themeColor="text1"/>
                <w:lang w:eastAsia="en-US"/>
              </w:rPr>
            </w:pPr>
            <w:r w:rsidRPr="00EA3176">
              <w:rPr>
                <w:rFonts w:eastAsiaTheme="minorHAnsi"/>
                <w:color w:val="000000" w:themeColor="text1"/>
                <w:lang w:eastAsia="en-US"/>
              </w:rPr>
              <w:t xml:space="preserve">Work with complex ideas and problems, making evidence-based </w:t>
            </w:r>
            <w:proofErr w:type="gramStart"/>
            <w:r w:rsidRPr="00EA3176">
              <w:rPr>
                <w:rFonts w:eastAsiaTheme="minorHAnsi"/>
                <w:color w:val="000000" w:themeColor="text1"/>
                <w:lang w:eastAsia="en-US"/>
              </w:rPr>
              <w:t>recommendations</w:t>
            </w:r>
            <w:proofErr w:type="gramEnd"/>
            <w:r w:rsidRPr="00EA3176">
              <w:rPr>
                <w:rFonts w:eastAsiaTheme="minorHAnsi"/>
                <w:color w:val="000000" w:themeColor="text1"/>
                <w:lang w:eastAsia="en-US"/>
              </w:rPr>
              <w:t xml:space="preserve"> </w:t>
            </w:r>
          </w:p>
          <w:p w:rsidRPr="00EA3176" w:rsidR="00C95364" w:rsidP="00B83849" w:rsidRDefault="00C95364" w14:paraId="19CB0DF2" w14:textId="77777777"/>
        </w:tc>
      </w:tr>
      <w:tr w:rsidRPr="00EA3176" w:rsidR="00C95364" w:rsidTr="00B83849" w14:paraId="38F47281" w14:textId="77777777">
        <w:trPr>
          <w:trHeight w:val="564"/>
        </w:trPr>
        <w:tc>
          <w:tcPr>
            <w:tcW w:w="2202" w:type="dxa"/>
          </w:tcPr>
          <w:p w:rsidRPr="00EA3176" w:rsidR="00C95364" w:rsidP="00B83849" w:rsidRDefault="00C95364" w14:paraId="201C5565" w14:textId="77777777"/>
        </w:tc>
        <w:tc>
          <w:tcPr>
            <w:tcW w:w="2202" w:type="dxa"/>
          </w:tcPr>
          <w:p w:rsidRPr="00EA3176" w:rsidR="00C95364" w:rsidP="00B83849" w:rsidRDefault="00C95364" w14:paraId="7A04C10E" w14:textId="77777777"/>
        </w:tc>
        <w:tc>
          <w:tcPr>
            <w:tcW w:w="2203" w:type="dxa"/>
          </w:tcPr>
          <w:p w:rsidRPr="00B83849" w:rsidR="00C95364" w:rsidP="00B83849" w:rsidRDefault="00EA3176" w14:paraId="236F2D39" w14:textId="667F6E4C">
            <w:pPr>
              <w:rPr>
                <w:rFonts w:eastAsiaTheme="minorHAnsi"/>
                <w:lang w:eastAsia="en-US"/>
              </w:rPr>
            </w:pPr>
            <w:r w:rsidRPr="00EA3176">
              <w:rPr>
                <w:rFonts w:eastAsiaTheme="minorHAnsi"/>
                <w:lang w:eastAsia="en-US"/>
              </w:rPr>
              <w:t xml:space="preserve">Use technologies to effectively communicate and collaborate across dispersed/global teams. </w:t>
            </w:r>
          </w:p>
        </w:tc>
        <w:tc>
          <w:tcPr>
            <w:tcW w:w="2202" w:type="dxa"/>
          </w:tcPr>
          <w:p w:rsidRPr="00EA3176" w:rsidR="00EA3176" w:rsidP="00B83849" w:rsidRDefault="00EA3176" w14:paraId="41332DB2" w14:textId="77777777">
            <w:pPr>
              <w:rPr>
                <w:rFonts w:eastAsiaTheme="minorHAnsi"/>
              </w:rPr>
            </w:pPr>
            <w:r w:rsidRPr="00EA3176">
              <w:rPr>
                <w:rFonts w:eastAsiaTheme="minorHAnsi"/>
              </w:rPr>
              <w:t xml:space="preserve">Show sensitivity and respect for diverse values and </w:t>
            </w:r>
            <w:proofErr w:type="gramStart"/>
            <w:r w:rsidRPr="00EA3176">
              <w:rPr>
                <w:rFonts w:eastAsiaTheme="minorHAnsi"/>
              </w:rPr>
              <w:t>beliefs</w:t>
            </w:r>
            <w:proofErr w:type="gramEnd"/>
          </w:p>
          <w:p w:rsidRPr="00EA3176" w:rsidR="00C95364" w:rsidP="00B83849" w:rsidRDefault="00C95364" w14:paraId="7B26B65A" w14:textId="03DA41AE"/>
        </w:tc>
        <w:tc>
          <w:tcPr>
            <w:tcW w:w="2203" w:type="dxa"/>
          </w:tcPr>
          <w:p w:rsidRPr="00EA3176" w:rsidR="00EA3176" w:rsidP="00B83849" w:rsidRDefault="00EA3176" w14:paraId="7887D570" w14:textId="77777777">
            <w:pPr>
              <w:rPr>
                <w:rFonts w:eastAsiaTheme="minorHAnsi"/>
                <w:lang w:eastAsia="en-US"/>
              </w:rPr>
            </w:pPr>
            <w:r w:rsidRPr="00EA3176">
              <w:rPr>
                <w:rFonts w:eastAsiaTheme="minorHAnsi"/>
                <w:lang w:eastAsia="en-US"/>
              </w:rPr>
              <w:t>Accurately cite and reference information Sources</w:t>
            </w:r>
          </w:p>
          <w:p w:rsidRPr="00EA3176" w:rsidR="00C95364" w:rsidP="00B83849" w:rsidRDefault="00C95364" w14:paraId="172E81F3" w14:textId="77777777"/>
        </w:tc>
        <w:tc>
          <w:tcPr>
            <w:tcW w:w="2202" w:type="dxa"/>
          </w:tcPr>
          <w:p w:rsidRPr="00EA3176" w:rsidR="00C95364" w:rsidP="00B83849" w:rsidRDefault="00C95364" w14:paraId="6E3C0670" w14:textId="77777777"/>
        </w:tc>
        <w:tc>
          <w:tcPr>
            <w:tcW w:w="2203" w:type="dxa"/>
          </w:tcPr>
          <w:p w:rsidRPr="00B83849" w:rsidR="00C95364" w:rsidP="00B83849" w:rsidRDefault="00EA3176" w14:paraId="0FCFFB9D" w14:textId="6679B772">
            <w:pPr>
              <w:rPr>
                <w:rFonts w:eastAsiaTheme="minorHAnsi"/>
                <w:color w:val="000000" w:themeColor="text1"/>
                <w:lang w:eastAsia="en-US"/>
              </w:rPr>
            </w:pPr>
            <w:r w:rsidRPr="00EA3176">
              <w:rPr>
                <w:rFonts w:eastAsiaTheme="minorHAnsi"/>
                <w:color w:val="000000" w:themeColor="text1"/>
                <w:lang w:eastAsia="en-US"/>
              </w:rPr>
              <w:t xml:space="preserve">Enterprise skills (ability to anticipate, identify, and grasp opportunities) </w:t>
            </w:r>
          </w:p>
        </w:tc>
      </w:tr>
      <w:tr w:rsidRPr="00EA3176" w:rsidR="00EA3176" w:rsidTr="00B83849" w14:paraId="5C5CF243" w14:textId="77777777">
        <w:trPr>
          <w:trHeight w:val="564"/>
        </w:trPr>
        <w:tc>
          <w:tcPr>
            <w:tcW w:w="2202" w:type="dxa"/>
          </w:tcPr>
          <w:p w:rsidRPr="00EA3176" w:rsidR="00EA3176" w:rsidP="00B83849" w:rsidRDefault="00EA3176" w14:paraId="517C11E8" w14:textId="77777777"/>
        </w:tc>
        <w:tc>
          <w:tcPr>
            <w:tcW w:w="2202" w:type="dxa"/>
          </w:tcPr>
          <w:p w:rsidRPr="00EA3176" w:rsidR="00EA3176" w:rsidP="00B83849" w:rsidRDefault="00EA3176" w14:paraId="1FC7DC95" w14:textId="77777777"/>
        </w:tc>
        <w:tc>
          <w:tcPr>
            <w:tcW w:w="2203" w:type="dxa"/>
          </w:tcPr>
          <w:p w:rsidRPr="00EA3176" w:rsidR="00EA3176" w:rsidP="00B83849" w:rsidRDefault="00EA3176" w14:paraId="5165F7CD" w14:textId="77777777">
            <w:pPr>
              <w:rPr>
                <w:rFonts w:eastAsiaTheme="minorHAnsi"/>
                <w:lang w:eastAsia="en-US"/>
              </w:rPr>
            </w:pPr>
          </w:p>
        </w:tc>
        <w:tc>
          <w:tcPr>
            <w:tcW w:w="2202" w:type="dxa"/>
          </w:tcPr>
          <w:p w:rsidRPr="00EA3176" w:rsidR="00EA3176" w:rsidP="00B83849" w:rsidRDefault="00EA3176" w14:paraId="4FE04BBD" w14:textId="77777777">
            <w:pPr>
              <w:rPr>
                <w:rFonts w:eastAsiaTheme="minorHAnsi"/>
              </w:rPr>
            </w:pPr>
          </w:p>
        </w:tc>
        <w:tc>
          <w:tcPr>
            <w:tcW w:w="2203" w:type="dxa"/>
          </w:tcPr>
          <w:p w:rsidRPr="00EA3176" w:rsidR="00EA3176" w:rsidP="00B83849" w:rsidRDefault="00EA3176" w14:paraId="6AC66A73" w14:textId="77777777">
            <w:pPr>
              <w:rPr>
                <w:rFonts w:eastAsiaTheme="minorHAnsi"/>
                <w:lang w:eastAsia="en-US"/>
              </w:rPr>
            </w:pPr>
          </w:p>
        </w:tc>
        <w:tc>
          <w:tcPr>
            <w:tcW w:w="2202" w:type="dxa"/>
          </w:tcPr>
          <w:p w:rsidRPr="00EA3176" w:rsidR="00EA3176" w:rsidP="00B83849" w:rsidRDefault="00EA3176" w14:paraId="58EEA0FB" w14:textId="77777777"/>
        </w:tc>
        <w:tc>
          <w:tcPr>
            <w:tcW w:w="2203" w:type="dxa"/>
          </w:tcPr>
          <w:p w:rsidRPr="00B83849" w:rsidR="00EA3176" w:rsidP="00B83849" w:rsidRDefault="00EA3176" w14:paraId="55A2A9E7" w14:textId="526E40F5">
            <w:pPr>
              <w:rPr>
                <w:rFonts w:eastAsiaTheme="minorHAnsi"/>
                <w:lang w:eastAsia="en-US"/>
              </w:rPr>
            </w:pPr>
            <w:r w:rsidRPr="00EA3176">
              <w:rPr>
                <w:rFonts w:eastAsiaTheme="minorHAnsi"/>
                <w:color w:val="000000" w:themeColor="text1"/>
                <w:lang w:eastAsia="en-US"/>
              </w:rPr>
              <w:t xml:space="preserve">Commercial acumen </w:t>
            </w:r>
          </w:p>
        </w:tc>
      </w:tr>
    </w:tbl>
    <w:p w:rsidR="00385F2B" w:rsidP="00B83849" w:rsidRDefault="00385F2B" w14:paraId="71710487" w14:textId="77777777"/>
    <w:p w:rsidR="00385F2B" w:rsidP="00B83849" w:rsidRDefault="00385F2B" w14:paraId="7F1D77E9" w14:textId="77777777"/>
    <w:p w:rsidRPr="00DA2044" w:rsidR="00385F2B" w:rsidP="00B83849" w:rsidRDefault="00385F2B" w14:paraId="633EAE2F" w14:textId="77777777"/>
    <w:p w:rsidRPr="00DA2044" w:rsidR="00A92C9B" w:rsidP="00A92C9B" w:rsidRDefault="00A92C9B" w14:paraId="05B3FCB3" w14:textId="77777777">
      <w:pPr>
        <w:rPr>
          <w:rFonts w:cs="Arial"/>
        </w:rPr>
      </w:pPr>
    </w:p>
    <w:p w:rsidR="00385F2B" w:rsidP="00A92C9B" w:rsidRDefault="00385F2B" w14:paraId="38639FDA" w14:textId="41122B6C">
      <w:pPr>
        <w:rPr>
          <w:rFonts w:cs="Arial"/>
        </w:rPr>
        <w:sectPr w:rsidR="00385F2B" w:rsidSect="00385F2B">
          <w:pgSz w:w="16838" w:h="11906" w:orient="landscape"/>
          <w:pgMar w:top="851" w:right="851" w:bottom="851" w:left="851" w:header="709" w:footer="709" w:gutter="0"/>
          <w:cols w:space="708"/>
          <w:docGrid w:linePitch="360"/>
        </w:sectPr>
      </w:pPr>
    </w:p>
    <w:p w:rsidRPr="00B83849" w:rsidR="00A92C9B" w:rsidP="00B83849" w:rsidRDefault="00A92C9B" w14:paraId="2CE555FD" w14:textId="4871B0C0">
      <w:pPr>
        <w:pStyle w:val="Heading3"/>
      </w:pPr>
      <w:r w:rsidRPr="000765B1">
        <w:lastRenderedPageBreak/>
        <w:t>Outline Programme Structure</w:t>
      </w:r>
    </w:p>
    <w:p w:rsidRPr="002D232B" w:rsidR="0087185A" w:rsidP="0087185A" w:rsidRDefault="2F66C1FA" w14:paraId="659CCE17" w14:textId="2199E9C8">
      <w:pPr>
        <w:rPr>
          <w:rFonts w:cs="Arial"/>
          <w:color w:val="FF0000"/>
        </w:rPr>
      </w:pPr>
      <w:r w:rsidRPr="2F66C1FA">
        <w:rPr>
          <w:rFonts w:cs="Arial"/>
        </w:rPr>
        <w:t xml:space="preserve">This level is made up of four modules each worth 30 credit points. Full details of each module will be provided in module descriptors and student module guides on Canvas. </w:t>
      </w:r>
    </w:p>
    <w:p w:rsidR="00A92C9B" w:rsidP="00A92C9B" w:rsidRDefault="00A92C9B" w14:paraId="71765B55" w14:textId="4B9B3813">
      <w:pPr>
        <w:rPr>
          <w:rFonts w:cs="Arial"/>
          <w:i/>
          <w:color w:val="C00000"/>
        </w:rPr>
      </w:pPr>
    </w:p>
    <w:p w:rsidRPr="00B83849" w:rsidR="00B83849" w:rsidP="00B83849" w:rsidRDefault="00B83849" w14:paraId="43035A25" w14:textId="4D2D71C9">
      <w:pPr>
        <w:pStyle w:val="Heading3"/>
        <w:jc w:val="center"/>
      </w:pPr>
      <w:r w:rsidRPr="00DA2044">
        <w:t xml:space="preserve">Level </w:t>
      </w:r>
      <w:r w:rsidR="0087185A">
        <w:t>6</w:t>
      </w:r>
      <w:r w:rsidRPr="00DA2044">
        <w:t xml:space="preserve"> </w:t>
      </w:r>
    </w:p>
    <w:tbl>
      <w:tblPr>
        <w:tblStyle w:val="TableGrid"/>
        <w:tblW w:w="0" w:type="auto"/>
        <w:tblLook w:val="04A0" w:firstRow="1" w:lastRow="0" w:firstColumn="1" w:lastColumn="0" w:noHBand="0" w:noVBand="1"/>
      </w:tblPr>
      <w:tblGrid>
        <w:gridCol w:w="3569"/>
        <w:gridCol w:w="1911"/>
        <w:gridCol w:w="857"/>
        <w:gridCol w:w="843"/>
        <w:gridCol w:w="1836"/>
      </w:tblGrid>
      <w:tr w:rsidRPr="00DA2044" w:rsidR="00A92C9B" w:rsidTr="361E6F21" w14:paraId="09FFDB53" w14:textId="77777777">
        <w:tc>
          <w:tcPr>
            <w:tcW w:w="3823" w:type="dxa"/>
            <w:tcMar/>
          </w:tcPr>
          <w:p w:rsidRPr="00DA2044" w:rsidR="00A92C9B" w:rsidP="00B83849" w:rsidRDefault="00A92C9B" w14:paraId="78605BF6" w14:textId="77777777">
            <w:r w:rsidRPr="00DA2044">
              <w:t>Core modules</w:t>
            </w:r>
          </w:p>
        </w:tc>
        <w:tc>
          <w:tcPr>
            <w:tcW w:w="1554" w:type="dxa"/>
            <w:tcMar/>
          </w:tcPr>
          <w:p w:rsidRPr="00DA2044" w:rsidR="00A92C9B" w:rsidP="00B83849" w:rsidRDefault="00A92C9B" w14:paraId="23B4EC92" w14:textId="77777777">
            <w:r w:rsidRPr="00DA2044">
              <w:t>Module code</w:t>
            </w:r>
          </w:p>
        </w:tc>
        <w:tc>
          <w:tcPr>
            <w:tcW w:w="857" w:type="dxa"/>
            <w:tcMar/>
          </w:tcPr>
          <w:p w:rsidRPr="00DA2044" w:rsidR="00A92C9B" w:rsidP="00B83849" w:rsidRDefault="00A92C9B" w14:paraId="6EE46EC9" w14:textId="77777777">
            <w:r w:rsidRPr="00DA2044">
              <w:t xml:space="preserve">Credit </w:t>
            </w:r>
          </w:p>
          <w:p w:rsidRPr="00DA2044" w:rsidR="00A92C9B" w:rsidP="00B83849" w:rsidRDefault="00A92C9B" w14:paraId="4C7AF560" w14:textId="77777777">
            <w:r w:rsidRPr="00DA2044">
              <w:t>Value</w:t>
            </w:r>
          </w:p>
        </w:tc>
        <w:tc>
          <w:tcPr>
            <w:tcW w:w="851" w:type="dxa"/>
            <w:tcMar/>
          </w:tcPr>
          <w:p w:rsidRPr="00DA2044" w:rsidR="00A92C9B" w:rsidP="00B83849" w:rsidRDefault="00A92C9B" w14:paraId="2424547F" w14:textId="77777777">
            <w:r w:rsidRPr="00DA2044">
              <w:t xml:space="preserve">Level </w:t>
            </w:r>
          </w:p>
        </w:tc>
        <w:tc>
          <w:tcPr>
            <w:tcW w:w="1931" w:type="dxa"/>
            <w:tcMar/>
          </w:tcPr>
          <w:p w:rsidRPr="00DA2044" w:rsidR="00A92C9B" w:rsidP="00B83849" w:rsidRDefault="00A92C9B" w14:paraId="20CA3FD7" w14:textId="77777777">
            <w:r w:rsidRPr="00DA2044">
              <w:t>Teaching Block</w:t>
            </w:r>
          </w:p>
        </w:tc>
      </w:tr>
      <w:tr w:rsidRPr="00DA2044" w:rsidR="00496012" w:rsidTr="361E6F21" w14:paraId="48D7DF0E" w14:textId="77777777">
        <w:tc>
          <w:tcPr>
            <w:tcW w:w="3823" w:type="dxa"/>
            <w:tcMar/>
            <w:vAlign w:val="center"/>
          </w:tcPr>
          <w:p w:rsidRPr="00496012" w:rsidR="00496012" w:rsidP="00496012" w:rsidRDefault="00496012" w14:paraId="378DA5D1" w14:textId="6CD0DFB5">
            <w:pPr>
              <w:rPr>
                <w:rFonts w:cs="Arial"/>
              </w:rPr>
            </w:pPr>
            <w:r w:rsidRPr="00496012">
              <w:rPr>
                <w:rFonts w:cs="Arial"/>
                <w:noProof/>
              </w:rPr>
              <w:t>Infection, Immunology, Haematology, and Cancer</w:t>
            </w:r>
          </w:p>
        </w:tc>
        <w:tc>
          <w:tcPr>
            <w:tcW w:w="1554" w:type="dxa"/>
            <w:tcMar/>
            <w:vAlign w:val="center"/>
          </w:tcPr>
          <w:p w:rsidRPr="00496012" w:rsidR="00496012" w:rsidP="00496012" w:rsidRDefault="2F66C1FA" w14:paraId="501F1246" w14:textId="6C3BABBC">
            <w:pPr>
              <w:rPr>
                <w:rFonts w:cs="Arial"/>
              </w:rPr>
            </w:pPr>
            <w:r w:rsidRPr="2F66C1FA">
              <w:rPr>
                <w:rFonts w:cs="Arial"/>
                <w:noProof/>
              </w:rPr>
              <w:t>PY6xxx</w:t>
            </w:r>
          </w:p>
        </w:tc>
        <w:tc>
          <w:tcPr>
            <w:tcW w:w="857" w:type="dxa"/>
            <w:tcMar/>
            <w:vAlign w:val="center"/>
          </w:tcPr>
          <w:p w:rsidRPr="00496012" w:rsidR="00496012" w:rsidP="00496012" w:rsidRDefault="00496012" w14:paraId="530CEEFB" w14:textId="21772286">
            <w:pPr>
              <w:jc w:val="center"/>
              <w:rPr>
                <w:rFonts w:cs="Arial"/>
              </w:rPr>
            </w:pPr>
            <w:r w:rsidRPr="00496012">
              <w:rPr>
                <w:rFonts w:cs="Arial"/>
              </w:rPr>
              <w:t>30</w:t>
            </w:r>
          </w:p>
        </w:tc>
        <w:tc>
          <w:tcPr>
            <w:tcW w:w="851" w:type="dxa"/>
            <w:tcMar/>
            <w:vAlign w:val="center"/>
          </w:tcPr>
          <w:p w:rsidRPr="00496012" w:rsidR="00496012" w:rsidP="00496012" w:rsidRDefault="00496012" w14:paraId="3238EE13" w14:textId="56096FE0">
            <w:pPr>
              <w:jc w:val="center"/>
              <w:rPr>
                <w:rFonts w:cs="Arial"/>
              </w:rPr>
            </w:pPr>
            <w:r w:rsidRPr="00496012">
              <w:rPr>
                <w:rFonts w:cs="Arial"/>
              </w:rPr>
              <w:t>6</w:t>
            </w:r>
          </w:p>
        </w:tc>
        <w:tc>
          <w:tcPr>
            <w:tcW w:w="1931" w:type="dxa"/>
            <w:tcMar/>
            <w:vAlign w:val="center"/>
          </w:tcPr>
          <w:p w:rsidRPr="00496012" w:rsidR="00496012" w:rsidP="00496012" w:rsidRDefault="00496012" w14:paraId="4D120F0A" w14:textId="28F80ABD">
            <w:pPr>
              <w:jc w:val="center"/>
              <w:rPr>
                <w:rFonts w:cs="Arial"/>
              </w:rPr>
            </w:pPr>
            <w:r w:rsidRPr="00496012">
              <w:rPr>
                <w:rFonts w:cs="Arial"/>
              </w:rPr>
              <w:t>TB1 and TB2</w:t>
            </w:r>
          </w:p>
        </w:tc>
      </w:tr>
      <w:tr w:rsidRPr="00DA2044" w:rsidR="00496012" w:rsidTr="361E6F21" w14:paraId="01FF7685" w14:textId="77777777">
        <w:tc>
          <w:tcPr>
            <w:tcW w:w="3823" w:type="dxa"/>
            <w:tcMar/>
            <w:vAlign w:val="center"/>
          </w:tcPr>
          <w:p w:rsidRPr="00496012" w:rsidR="00496012" w:rsidP="00496012" w:rsidRDefault="00496012" w14:paraId="1C94EF8F" w14:textId="438EA456">
            <w:pPr>
              <w:rPr>
                <w:rFonts w:cs="Arial"/>
              </w:rPr>
            </w:pPr>
            <w:r w:rsidRPr="361E6F21" w:rsidR="361E6F21">
              <w:rPr>
                <w:rFonts w:cs="Arial"/>
                <w:noProof/>
              </w:rPr>
              <w:t>Regulatory affairs</w:t>
            </w:r>
          </w:p>
        </w:tc>
        <w:tc>
          <w:tcPr>
            <w:tcW w:w="1554" w:type="dxa"/>
            <w:tcMar/>
            <w:vAlign w:val="center"/>
          </w:tcPr>
          <w:p w:rsidRPr="00496012" w:rsidR="00496012" w:rsidP="00496012" w:rsidRDefault="2F66C1FA" w14:paraId="18B701C4" w14:textId="15F84CB7">
            <w:pPr>
              <w:rPr>
                <w:rFonts w:cs="Arial"/>
              </w:rPr>
            </w:pPr>
            <w:r w:rsidRPr="361E6F21" w:rsidR="361E6F21">
              <w:rPr>
                <w:rFonts w:cs="Arial"/>
                <w:noProof/>
              </w:rPr>
              <w:t>CH6400</w:t>
            </w:r>
          </w:p>
        </w:tc>
        <w:tc>
          <w:tcPr>
            <w:tcW w:w="857" w:type="dxa"/>
            <w:tcMar/>
            <w:vAlign w:val="center"/>
          </w:tcPr>
          <w:p w:rsidRPr="00496012" w:rsidR="00496012" w:rsidP="00496012" w:rsidRDefault="00496012" w14:paraId="3FCB7440" w14:textId="7F0A3C2D">
            <w:pPr>
              <w:jc w:val="center"/>
              <w:rPr>
                <w:rFonts w:cs="Arial"/>
              </w:rPr>
            </w:pPr>
            <w:r w:rsidRPr="00496012">
              <w:rPr>
                <w:rFonts w:cs="Arial"/>
              </w:rPr>
              <w:t>30</w:t>
            </w:r>
          </w:p>
        </w:tc>
        <w:tc>
          <w:tcPr>
            <w:tcW w:w="851" w:type="dxa"/>
            <w:tcMar/>
            <w:vAlign w:val="center"/>
          </w:tcPr>
          <w:p w:rsidRPr="00496012" w:rsidR="00496012" w:rsidP="00496012" w:rsidRDefault="00496012" w14:paraId="7B378FFE" w14:textId="5D887EB8">
            <w:pPr>
              <w:jc w:val="center"/>
              <w:rPr>
                <w:rFonts w:cs="Arial"/>
              </w:rPr>
            </w:pPr>
            <w:r w:rsidRPr="00496012">
              <w:rPr>
                <w:rFonts w:cs="Arial"/>
              </w:rPr>
              <w:t>6</w:t>
            </w:r>
          </w:p>
        </w:tc>
        <w:tc>
          <w:tcPr>
            <w:tcW w:w="1931" w:type="dxa"/>
            <w:tcMar/>
            <w:vAlign w:val="center"/>
          </w:tcPr>
          <w:p w:rsidRPr="00496012" w:rsidR="00496012" w:rsidP="00496012" w:rsidRDefault="00496012" w14:paraId="1D9BEDD3" w14:textId="595B66E4">
            <w:pPr>
              <w:jc w:val="center"/>
              <w:rPr>
                <w:rFonts w:cs="Arial"/>
              </w:rPr>
            </w:pPr>
            <w:r w:rsidRPr="00496012">
              <w:rPr>
                <w:rFonts w:cs="Arial"/>
              </w:rPr>
              <w:t>TB1 and TB2</w:t>
            </w:r>
          </w:p>
        </w:tc>
      </w:tr>
      <w:tr w:rsidRPr="00DA2044" w:rsidR="00496012" w:rsidTr="361E6F21" w14:paraId="61CA9431" w14:textId="77777777">
        <w:tc>
          <w:tcPr>
            <w:tcW w:w="3823" w:type="dxa"/>
            <w:tcMar/>
            <w:vAlign w:val="center"/>
          </w:tcPr>
          <w:p w:rsidRPr="00496012" w:rsidR="00496012" w:rsidP="00496012" w:rsidRDefault="00496012" w14:paraId="40728F01" w14:textId="75260409">
            <w:pPr>
              <w:rPr>
                <w:rFonts w:cs="Arial"/>
              </w:rPr>
            </w:pPr>
            <w:r w:rsidRPr="00496012">
              <w:rPr>
                <w:rFonts w:cs="Arial"/>
                <w:noProof/>
              </w:rPr>
              <w:t>Advanced formulations and drug delivery systems</w:t>
            </w:r>
          </w:p>
        </w:tc>
        <w:tc>
          <w:tcPr>
            <w:tcW w:w="1554" w:type="dxa"/>
            <w:tcMar/>
            <w:vAlign w:val="center"/>
          </w:tcPr>
          <w:p w:rsidRPr="00496012" w:rsidR="00496012" w:rsidP="00496012" w:rsidRDefault="2F66C1FA" w14:paraId="05E4E62C" w14:textId="4B8E7BB2">
            <w:pPr>
              <w:rPr>
                <w:rFonts w:cs="Arial"/>
              </w:rPr>
            </w:pPr>
            <w:r w:rsidRPr="2F66C1FA">
              <w:rPr>
                <w:rFonts w:cs="Arial"/>
                <w:noProof/>
              </w:rPr>
              <w:t>PY6xxx</w:t>
            </w:r>
          </w:p>
        </w:tc>
        <w:tc>
          <w:tcPr>
            <w:tcW w:w="857" w:type="dxa"/>
            <w:tcMar/>
            <w:vAlign w:val="center"/>
          </w:tcPr>
          <w:p w:rsidRPr="00496012" w:rsidR="00496012" w:rsidP="00496012" w:rsidRDefault="00496012" w14:paraId="395ED112" w14:textId="217DB327">
            <w:pPr>
              <w:jc w:val="center"/>
              <w:rPr>
                <w:rFonts w:cs="Arial"/>
              </w:rPr>
            </w:pPr>
            <w:r w:rsidRPr="00496012">
              <w:rPr>
                <w:rFonts w:cs="Arial"/>
              </w:rPr>
              <w:t>30</w:t>
            </w:r>
          </w:p>
        </w:tc>
        <w:tc>
          <w:tcPr>
            <w:tcW w:w="851" w:type="dxa"/>
            <w:tcMar/>
            <w:vAlign w:val="center"/>
          </w:tcPr>
          <w:p w:rsidRPr="00496012" w:rsidR="00496012" w:rsidP="00496012" w:rsidRDefault="00496012" w14:paraId="05876407" w14:textId="2FF4D539">
            <w:pPr>
              <w:jc w:val="center"/>
              <w:rPr>
                <w:rFonts w:cs="Arial"/>
              </w:rPr>
            </w:pPr>
            <w:r w:rsidRPr="00496012">
              <w:rPr>
                <w:rFonts w:cs="Arial"/>
              </w:rPr>
              <w:t>6</w:t>
            </w:r>
          </w:p>
        </w:tc>
        <w:tc>
          <w:tcPr>
            <w:tcW w:w="1931" w:type="dxa"/>
            <w:tcMar/>
            <w:vAlign w:val="center"/>
          </w:tcPr>
          <w:p w:rsidRPr="00496012" w:rsidR="00496012" w:rsidP="00496012" w:rsidRDefault="00496012" w14:paraId="361514C5" w14:textId="22871AFC">
            <w:pPr>
              <w:jc w:val="center"/>
              <w:rPr>
                <w:rFonts w:cs="Arial"/>
              </w:rPr>
            </w:pPr>
            <w:r w:rsidRPr="00496012">
              <w:rPr>
                <w:rFonts w:cs="Arial"/>
              </w:rPr>
              <w:t>TB1 and TB2</w:t>
            </w:r>
          </w:p>
        </w:tc>
      </w:tr>
      <w:tr w:rsidRPr="00DA2044" w:rsidR="00496012" w:rsidTr="361E6F21" w14:paraId="08F52BD6" w14:textId="77777777">
        <w:tc>
          <w:tcPr>
            <w:tcW w:w="3823" w:type="dxa"/>
            <w:tcMar/>
            <w:vAlign w:val="center"/>
          </w:tcPr>
          <w:p w:rsidRPr="00496012" w:rsidR="00496012" w:rsidP="00496012" w:rsidRDefault="00496012" w14:paraId="33A418B5" w14:textId="14B77418">
            <w:pPr>
              <w:rPr>
                <w:rFonts w:cs="Arial"/>
              </w:rPr>
            </w:pPr>
            <w:r w:rsidRPr="00496012">
              <w:rPr>
                <w:rFonts w:cs="Arial"/>
                <w:noProof/>
              </w:rPr>
              <w:t>Research Project</w:t>
            </w:r>
          </w:p>
        </w:tc>
        <w:tc>
          <w:tcPr>
            <w:tcW w:w="1554" w:type="dxa"/>
            <w:tcMar/>
            <w:vAlign w:val="center"/>
          </w:tcPr>
          <w:p w:rsidRPr="00496012" w:rsidR="00496012" w:rsidP="00496012" w:rsidRDefault="2F66C1FA" w14:paraId="3954A9BA" w14:textId="0D886DA5">
            <w:pPr>
              <w:rPr>
                <w:rFonts w:cs="Arial"/>
              </w:rPr>
            </w:pPr>
            <w:r w:rsidRPr="2F66C1FA">
              <w:rPr>
                <w:rFonts w:cs="Arial"/>
                <w:noProof/>
              </w:rPr>
              <w:t>PY6xxx</w:t>
            </w:r>
          </w:p>
        </w:tc>
        <w:tc>
          <w:tcPr>
            <w:tcW w:w="857" w:type="dxa"/>
            <w:tcMar/>
            <w:vAlign w:val="center"/>
          </w:tcPr>
          <w:p w:rsidRPr="00496012" w:rsidR="00496012" w:rsidP="00496012" w:rsidRDefault="00496012" w14:paraId="00001379" w14:textId="1B2C9F82">
            <w:pPr>
              <w:jc w:val="center"/>
              <w:rPr>
                <w:rFonts w:cs="Arial"/>
              </w:rPr>
            </w:pPr>
            <w:r w:rsidRPr="00496012">
              <w:rPr>
                <w:rFonts w:cs="Arial"/>
              </w:rPr>
              <w:t>30</w:t>
            </w:r>
          </w:p>
        </w:tc>
        <w:tc>
          <w:tcPr>
            <w:tcW w:w="851" w:type="dxa"/>
            <w:tcMar/>
            <w:vAlign w:val="center"/>
          </w:tcPr>
          <w:p w:rsidRPr="00496012" w:rsidR="00496012" w:rsidP="00496012" w:rsidRDefault="00496012" w14:paraId="1DF7C6B3" w14:textId="7BEDBDF7">
            <w:pPr>
              <w:jc w:val="center"/>
              <w:rPr>
                <w:rFonts w:cs="Arial"/>
              </w:rPr>
            </w:pPr>
            <w:r w:rsidRPr="00496012">
              <w:rPr>
                <w:rFonts w:cs="Arial"/>
              </w:rPr>
              <w:t>6</w:t>
            </w:r>
          </w:p>
        </w:tc>
        <w:tc>
          <w:tcPr>
            <w:tcW w:w="1931" w:type="dxa"/>
            <w:tcMar/>
            <w:vAlign w:val="center"/>
          </w:tcPr>
          <w:p w:rsidRPr="00496012" w:rsidR="00496012" w:rsidP="00496012" w:rsidRDefault="00496012" w14:paraId="458E8E48" w14:textId="34230D70">
            <w:pPr>
              <w:jc w:val="center"/>
              <w:rPr>
                <w:rFonts w:cs="Arial"/>
              </w:rPr>
            </w:pPr>
            <w:r w:rsidRPr="00496012">
              <w:rPr>
                <w:rFonts w:cs="Arial"/>
              </w:rPr>
              <w:t>TB1 and TB2</w:t>
            </w:r>
          </w:p>
        </w:tc>
      </w:tr>
    </w:tbl>
    <w:p w:rsidR="2F66C1FA" w:rsidP="2F66C1FA" w:rsidRDefault="2F66C1FA" w14:paraId="350E1CA4" w14:textId="2952D958">
      <w:pPr>
        <w:pStyle w:val="Heading2"/>
        <w:rPr>
          <w:b w:val="0"/>
        </w:rPr>
      </w:pPr>
      <w:r>
        <w:rPr>
          <w:b w:val="0"/>
        </w:rPr>
        <w:t>All modules need to be passed for the BSc award.</w:t>
      </w:r>
    </w:p>
    <w:p w:rsidR="2F66C1FA" w:rsidP="2F66C1FA" w:rsidRDefault="2F66C1FA" w14:paraId="7318F7D9" w14:textId="6F71C597">
      <w:pPr>
        <w:pStyle w:val="Heading2"/>
      </w:pPr>
    </w:p>
    <w:p w:rsidRPr="00003008" w:rsidR="00A92C9B" w:rsidP="00003008" w:rsidRDefault="2F66C1FA" w14:paraId="4B41455E" w14:textId="31AACA4D">
      <w:pPr>
        <w:pStyle w:val="Heading2"/>
      </w:pPr>
      <w:r>
        <w:t xml:space="preserve">Principles of Teaching, Learning and Assessment </w:t>
      </w:r>
    </w:p>
    <w:p w:rsidR="008E77B1" w:rsidP="008E77B1" w:rsidRDefault="48492D71" w14:paraId="5C28B785" w14:textId="57594388">
      <w:pPr>
        <w:autoSpaceDE w:val="0"/>
        <w:autoSpaceDN w:val="0"/>
        <w:adjustRightInd w:val="0"/>
        <w:jc w:val="both"/>
        <w:rPr>
          <w:rFonts w:cs="Arial"/>
          <w:color w:val="000000"/>
        </w:rPr>
      </w:pPr>
      <w:r w:rsidRPr="48492D71">
        <w:rPr>
          <w:rFonts w:cs="Arial"/>
          <w:color w:val="000000" w:themeColor="text1"/>
        </w:rPr>
        <w:t xml:space="preserve">The core programme and pathway comprising this top-up year have been designed to take account of the KU Curriculum Design Principles. The top-up year utilises a wide range of teaching and learning methods that will enable all students to be actively engaged throughout the year. The top-up year has traditionally had a diverse cohort of students, attracting students of different educational background, age, gender, race, religion, sexual </w:t>
      </w:r>
      <w:proofErr w:type="gramStart"/>
      <w:r w:rsidRPr="48492D71">
        <w:rPr>
          <w:rFonts w:cs="Arial"/>
          <w:color w:val="000000" w:themeColor="text1"/>
        </w:rPr>
        <w:t>orientation</w:t>
      </w:r>
      <w:proofErr w:type="gramEnd"/>
      <w:r w:rsidRPr="48492D71">
        <w:rPr>
          <w:rFonts w:cs="Arial"/>
          <w:color w:val="000000" w:themeColor="text1"/>
        </w:rPr>
        <w:t xml:space="preserve"> and disability. As a result, the curriculum has been designed to be as inclusive as possible. Teaching and learning methods are carefully crafted to suit the content and the learning outcomes of each specific module. Typically, this involves using lectures to ensure that students have the key theoretical knowledge relating to the module before using strategies that allow the students to apply this knowledge in a variety of ways. Through group and seminar work, practical and laboratory sessions students are then able to develop more individual interests and personal and key skills. A blended learning approach will be adopted to cater for the learning needs of each individual student wherever possible.</w:t>
      </w:r>
    </w:p>
    <w:p w:rsidRPr="001470F4" w:rsidR="008E77B1" w:rsidP="008E77B1" w:rsidRDefault="008E77B1" w14:paraId="211552AB" w14:textId="77777777">
      <w:pPr>
        <w:autoSpaceDE w:val="0"/>
        <w:autoSpaceDN w:val="0"/>
        <w:adjustRightInd w:val="0"/>
        <w:jc w:val="both"/>
        <w:rPr>
          <w:rFonts w:cs="Arial"/>
          <w:color w:val="000000"/>
        </w:rPr>
      </w:pPr>
    </w:p>
    <w:p w:rsidRPr="00C205CA" w:rsidR="008E77B1" w:rsidP="48492D71" w:rsidRDefault="48492D71" w14:paraId="4A112C6F" w14:textId="589370D9">
      <w:pPr>
        <w:pStyle w:val="CommentText"/>
        <w:spacing w:line="240" w:lineRule="auto"/>
        <w:jc w:val="both"/>
        <w:rPr>
          <w:rFonts w:ascii="Arial" w:hAnsi="Arial" w:cs="Arial"/>
          <w:i/>
          <w:iCs/>
          <w:sz w:val="24"/>
          <w:szCs w:val="24"/>
        </w:rPr>
      </w:pPr>
      <w:r w:rsidRPr="48492D71">
        <w:rPr>
          <w:rFonts w:ascii="Arial" w:hAnsi="Arial" w:cs="Arial"/>
          <w:color w:val="000000" w:themeColor="text1"/>
          <w:sz w:val="24"/>
          <w:szCs w:val="24"/>
          <w:lang w:eastAsia="en-GB"/>
        </w:rPr>
        <w:t xml:space="preserve">A range of assessment methods will be used that enable students to apply problem solving, and critical analysis skills. Methods include oral presentations, in-class tests, MCQs, examinations, laboratory reports and poster presentations, peer marking as well as informal Q and A in each learning setting. The assessment regime for each module has been designed to provide formative opportunities that allow students to practice and to receive feed forward on their performance in preparation for the summative assessment. Care will be taken to avoid assessment bunching. </w:t>
      </w:r>
    </w:p>
    <w:p w:rsidR="008E77B1" w:rsidP="008E77B1" w:rsidRDefault="7821F68B" w14:paraId="0FE26EA7" w14:textId="58D62121">
      <w:pPr>
        <w:pStyle w:val="CommentText"/>
        <w:spacing w:line="240" w:lineRule="auto"/>
        <w:jc w:val="both"/>
        <w:rPr>
          <w:rFonts w:ascii="Arial" w:hAnsi="Arial" w:cs="Arial"/>
          <w:sz w:val="24"/>
          <w:szCs w:val="24"/>
        </w:rPr>
      </w:pPr>
      <w:r w:rsidRPr="361E6F21" w:rsidR="361E6F21">
        <w:rPr>
          <w:rFonts w:ascii="Arial" w:hAnsi="Arial" w:cs="Arial"/>
          <w:sz w:val="24"/>
          <w:szCs w:val="24"/>
        </w:rPr>
        <w:t xml:space="preserve">In line with university policy, feedback is provided to students on all forms of assessment including formal examinations. The return dates of marked coursework are published in all module guides. Many modules in the top-up year have an assessment component comprised of a collection of small coursework elements, such as practical reports. Continual review of these assessment elements is performed to ensure that students get feedback on one piece before doing the next and that the summative assessment burden is not so great to prevent students being engaged with the formative assessment opportunities offered in modules. </w:t>
      </w:r>
    </w:p>
    <w:p w:rsidR="008E77B1" w:rsidP="008E77B1" w:rsidRDefault="008E77B1" w14:paraId="7CBBA55A" w14:textId="13D995A3">
      <w:pPr>
        <w:pStyle w:val="CommentText"/>
        <w:spacing w:line="240" w:lineRule="auto"/>
        <w:jc w:val="both"/>
        <w:rPr>
          <w:rFonts w:ascii="Arial" w:hAnsi="Arial" w:cs="Arial"/>
          <w:sz w:val="24"/>
          <w:szCs w:val="24"/>
        </w:rPr>
      </w:pPr>
      <w:r w:rsidRPr="00C205CA">
        <w:rPr>
          <w:rFonts w:ascii="Arial" w:hAnsi="Arial" w:cs="Arial"/>
          <w:sz w:val="24"/>
          <w:szCs w:val="24"/>
        </w:rPr>
        <w:t xml:space="preserve">Such coursework assessment will complement the testing of knowledge and skills in examination settings. The examinations themselves will also be presented in a variety of modes, ranging from calculations, problem solving and data analysis to MCQs and essay-type long answers. MCQs will be designed to test the same knowledge, concepts and problem-solving abilities that will be assessed by short answer questions (SAQs) and long answers in examinations. </w:t>
      </w:r>
    </w:p>
    <w:p w:rsidRPr="00C205CA" w:rsidR="007F6A4A" w:rsidP="007F6A4A" w:rsidRDefault="7821F68B" w14:paraId="1E8FB0F8" w14:textId="1559E930">
      <w:pPr>
        <w:pStyle w:val="CommentText"/>
        <w:spacing w:line="240" w:lineRule="auto"/>
        <w:jc w:val="both"/>
        <w:rPr>
          <w:rFonts w:ascii="Arial" w:hAnsi="Arial" w:cs="Arial"/>
          <w:sz w:val="24"/>
          <w:szCs w:val="24"/>
        </w:rPr>
      </w:pPr>
      <w:r w:rsidRPr="7821F68B">
        <w:rPr>
          <w:rFonts w:ascii="Arial" w:hAnsi="Arial" w:cs="Arial"/>
          <w:sz w:val="24"/>
          <w:szCs w:val="24"/>
        </w:rPr>
        <w:t>Research informs the teaching delivered as many staff are active in pursuing their own research activities. Additionally, professionally registered staff have obligations to undertake continuing professional development requiring that they are up to date with the latest innovations in their field. Lecturers will bring these new developments into their classes. Additionally, all staff members at Kingston University run projects in their areas of expertise and give first hand instruction on research methods.</w:t>
      </w:r>
    </w:p>
    <w:p w:rsidR="008E77B1" w:rsidP="3D40E9E5" w:rsidRDefault="0063180A" w14:paraId="738B6B6C" w14:textId="6C2A0EEC">
      <w:pPr>
        <w:autoSpaceDE w:val="0"/>
        <w:autoSpaceDN w:val="0"/>
        <w:adjustRightInd w:val="0"/>
        <w:rPr>
          <w:rFonts w:cs="Arial"/>
        </w:rPr>
      </w:pPr>
      <w:r w:rsidRPr="49EEA43F" w:rsidR="49EEA43F">
        <w:rPr>
          <w:rFonts w:cs="Arial"/>
          <w:color w:val="000000" w:themeColor="text1" w:themeTint="FF" w:themeShade="FF"/>
        </w:rPr>
        <w:t xml:space="preserve">All student </w:t>
      </w:r>
      <w:proofErr w:type="gramStart"/>
      <w:r w:rsidRPr="49EEA43F" w:rsidR="49EEA43F">
        <w:rPr>
          <w:rFonts w:cs="Arial"/>
          <w:color w:val="000000" w:themeColor="text1" w:themeTint="FF" w:themeShade="FF"/>
        </w:rPr>
        <w:t>are</w:t>
      </w:r>
      <w:proofErr w:type="gramEnd"/>
      <w:r w:rsidRPr="49EEA43F" w:rsidR="49EEA43F">
        <w:rPr>
          <w:rFonts w:cs="Arial"/>
          <w:color w:val="000000" w:themeColor="text1" w:themeTint="FF" w:themeShade="FF"/>
        </w:rPr>
        <w:t xml:space="preserve"> required undertake a project that enables them to apply and exhibit the knowledge and skills acquired during their course of study. The allocation of supervisors for Projects and Dissertations is done by the Module Leader, balancing students’ preference, the supervisor's expertise and the supervisor's workload.  By undertaking this project, students can develop and improve their research skills, obtain practical experience that is pertinent to a variety of employment opportunities, and establish a foundation for further study if they choose to pursue it. As the project requires extensive laboratory-based research, students will gain several skills necessary for succeeding in scientifically oriented professions.</w:t>
      </w:r>
    </w:p>
    <w:p w:rsidR="008E77B1" w:rsidP="3D40E9E5" w:rsidRDefault="008E77B1" w14:paraId="770C36DD" w14:textId="0B6ADF13">
      <w:pPr>
        <w:autoSpaceDE w:val="0"/>
        <w:autoSpaceDN w:val="0"/>
        <w:adjustRightInd w:val="0"/>
        <w:jc w:val="both"/>
        <w:rPr>
          <w:rFonts w:cs="Arial"/>
          <w:color w:val="000000"/>
        </w:rPr>
      </w:pPr>
    </w:p>
    <w:p w:rsidR="008E77B1" w:rsidP="49EEA43F" w:rsidRDefault="3D40E9E5" w14:paraId="1E6058B2" w14:textId="6D78446A">
      <w:pPr>
        <w:pStyle w:val="Normal"/>
        <w:jc w:val="both"/>
        <w:rPr>
          <w:rFonts w:cs="Arial"/>
          <w:color w:val="000000" w:themeColor="text1"/>
          <w:highlight w:val="yellow"/>
        </w:rPr>
      </w:pPr>
      <w:r w:rsidRPr="49EEA43F" w:rsidR="49EEA43F">
        <w:rPr>
          <w:rFonts w:cs="Arial"/>
          <w:color w:val="000000" w:themeColor="text1" w:themeTint="FF" w:themeShade="FF"/>
        </w:rPr>
        <w:t xml:space="preserve">E-technology plays an important role in enhancing learning and teaching throughout the top-up year. Canvas, for example, is a virtual learning environment that allows students to access lecture notes, assessments, screencasts, practical videos. The use of Turnitin allows students to recognise the dangers of plagiarism. </w:t>
      </w:r>
    </w:p>
    <w:p w:rsidR="3D40E9E5" w:rsidP="3D40E9E5" w:rsidRDefault="3D40E9E5" w14:paraId="5DA4AD80" w14:textId="716D2412" w14:noSpellErr="1">
      <w:pPr>
        <w:jc w:val="both"/>
        <w:rPr>
          <w:rFonts w:cs="Arial"/>
          <w:color w:val="000000" w:themeColor="text1"/>
        </w:rPr>
      </w:pPr>
    </w:p>
    <w:p w:rsidR="0097690F" w:rsidP="3D40E9E5" w:rsidRDefault="00954F67" w14:paraId="030DC433" w14:textId="21E6173A">
      <w:pPr>
        <w:jc w:val="both"/>
        <w:rPr>
          <w:rFonts w:cs="Arial"/>
          <w:color w:val="000000" w:themeColor="text1"/>
        </w:rPr>
      </w:pPr>
      <w:r w:rsidRPr="361E6F21" w:rsidR="361E6F21">
        <w:rPr>
          <w:rFonts w:cs="Arial"/>
          <w:color w:val="000000" w:themeColor="text1" w:themeTint="FF" w:themeShade="FF"/>
        </w:rPr>
        <w:t>Throughout this course, students will advance their proficiency in the Future skills taught in the Pharmaceutical and Chemical Sciences Foundation Degree through Apply workshops and associated activities. They will also revisit the graduate attributes and examine their broader context beyond the university. Moreover, students will have a chance to apply the knowledge and skills they acquired in the Foundation degree pertaining to future skills and graduate attributes.</w:t>
      </w:r>
    </w:p>
    <w:p w:rsidR="0097690F" w:rsidP="3D40E9E5" w:rsidRDefault="0097690F" w14:paraId="713FABE5" w14:textId="77777777" w14:noSpellErr="1">
      <w:pPr>
        <w:rPr>
          <w:rFonts w:cs="Arial"/>
        </w:rPr>
      </w:pPr>
    </w:p>
    <w:p w:rsidRPr="007F6A4A" w:rsidR="007F6A4A" w:rsidP="3D40E9E5" w:rsidRDefault="3D40E9E5" w14:paraId="604B818A" w14:textId="1F0A8291">
      <w:pPr>
        <w:rPr>
          <w:rFonts w:cs="Arial"/>
        </w:rPr>
      </w:pPr>
      <w:r w:rsidRPr="3D40E9E5">
        <w:rPr>
          <w:rFonts w:cs="Arial"/>
        </w:rPr>
        <w:lastRenderedPageBreak/>
        <w:t>The personal tutor scheme was developed to enhance both a student’s learning</w:t>
      </w:r>
      <w:r w:rsidR="007F6A4A">
        <w:br/>
      </w:r>
      <w:r w:rsidRPr="3D40E9E5">
        <w:rPr>
          <w:rFonts w:cs="Arial"/>
        </w:rPr>
        <w:t>experience at Kingston University, but also to enhance employability skills and self-</w:t>
      </w:r>
      <w:r w:rsidR="007F6A4A">
        <w:br/>
      </w:r>
      <w:r w:rsidRPr="3D40E9E5">
        <w:rPr>
          <w:rFonts w:cs="Arial"/>
        </w:rPr>
        <w:t xml:space="preserve">awareness. students will be expected to work with their personal tutors to prepare a good quality CV ready for sending out to potential employers. The personal tutor scheme is also designed to encourage communication between students and one member of staff throughout their time at Kingston University. </w:t>
      </w:r>
    </w:p>
    <w:p w:rsidRPr="000765B1" w:rsidR="00A92C9B" w:rsidP="00003008" w:rsidRDefault="00A92C9B" w14:paraId="1FD7F9D6" w14:textId="77777777">
      <w:pPr>
        <w:pStyle w:val="Heading2"/>
      </w:pPr>
      <w:r w:rsidRPr="000765B1">
        <w:t>Support for Students and their Learning</w:t>
      </w:r>
    </w:p>
    <w:p w:rsidR="002102BE" w:rsidP="002102BE" w:rsidRDefault="002102BE" w14:paraId="4DE6D75E" w14:textId="77777777">
      <w:pPr>
        <w:ind w:left="360"/>
        <w:rPr>
          <w:rFonts w:cs="Arial"/>
        </w:rPr>
      </w:pPr>
    </w:p>
    <w:p w:rsidRPr="000765B1" w:rsidR="002102BE" w:rsidP="002102BE" w:rsidRDefault="002102BE" w14:paraId="2BE12058" w14:textId="77777777">
      <w:r w:rsidRPr="000765B1">
        <w:t>Students are supported by:</w:t>
      </w:r>
    </w:p>
    <w:p w:rsidR="002102BE" w:rsidP="002102BE" w:rsidRDefault="002102BE" w14:paraId="76A298B9" w14:textId="77777777">
      <w:pPr>
        <w:rPr>
          <w:rFonts w:cs="Arial"/>
        </w:rPr>
      </w:pPr>
    </w:p>
    <w:p w:rsidRPr="007A6BC2" w:rsidR="00F00D94" w:rsidP="00F00D94" w:rsidRDefault="00F00D94" w14:paraId="08297A01" w14:textId="0CCFBFDF">
      <w:pPr>
        <w:pStyle w:val="ListParagraph"/>
        <w:numPr>
          <w:ilvl w:val="0"/>
          <w:numId w:val="14"/>
        </w:numPr>
        <w:rPr>
          <w:rFonts w:ascii="Arial" w:hAnsi="Arial" w:cs="Arial"/>
          <w:sz w:val="24"/>
          <w:szCs w:val="24"/>
        </w:rPr>
      </w:pPr>
      <w:r w:rsidRPr="007A6BC2">
        <w:rPr>
          <w:rFonts w:ascii="Arial" w:hAnsi="Arial" w:cs="Arial"/>
          <w:sz w:val="24"/>
          <w:szCs w:val="24"/>
        </w:rPr>
        <w:t>A Module Leader for each module</w:t>
      </w:r>
      <w:r w:rsidR="007A6BC2">
        <w:rPr>
          <w:rFonts w:ascii="Arial" w:hAnsi="Arial" w:cs="Arial"/>
          <w:sz w:val="24"/>
          <w:szCs w:val="24"/>
        </w:rPr>
        <w:t>.</w:t>
      </w:r>
      <w:r w:rsidRPr="007A6BC2">
        <w:rPr>
          <w:rFonts w:ascii="Arial" w:hAnsi="Arial" w:cs="Arial"/>
          <w:sz w:val="24"/>
          <w:szCs w:val="24"/>
        </w:rPr>
        <w:t xml:space="preserve"> </w:t>
      </w:r>
    </w:p>
    <w:p w:rsidRPr="007A6BC2" w:rsidR="00F00D94" w:rsidP="00F00D94" w:rsidRDefault="00F00D94" w14:paraId="3A3A1B95" w14:textId="38886DE3">
      <w:pPr>
        <w:pStyle w:val="ListParagraph"/>
        <w:numPr>
          <w:ilvl w:val="0"/>
          <w:numId w:val="14"/>
        </w:numPr>
        <w:rPr>
          <w:rFonts w:ascii="Arial" w:hAnsi="Arial" w:cs="Arial"/>
          <w:sz w:val="24"/>
          <w:szCs w:val="24"/>
        </w:rPr>
      </w:pPr>
      <w:r w:rsidRPr="007A6BC2">
        <w:rPr>
          <w:rFonts w:ascii="Arial" w:hAnsi="Arial" w:cs="Arial"/>
          <w:sz w:val="24"/>
          <w:szCs w:val="24"/>
        </w:rPr>
        <w:t>A Course Leader to help students understand the programme structure</w:t>
      </w:r>
      <w:r w:rsidR="007A6BC2">
        <w:rPr>
          <w:rFonts w:ascii="Arial" w:hAnsi="Arial" w:cs="Arial"/>
          <w:sz w:val="24"/>
          <w:szCs w:val="24"/>
        </w:rPr>
        <w:t>.</w:t>
      </w:r>
    </w:p>
    <w:p w:rsidRPr="007A6BC2" w:rsidR="00F00D94" w:rsidP="00F00D94" w:rsidRDefault="00F00D94" w14:paraId="6240E4D7" w14:textId="64000C25">
      <w:pPr>
        <w:pStyle w:val="ListParagraph"/>
        <w:numPr>
          <w:ilvl w:val="0"/>
          <w:numId w:val="14"/>
        </w:numPr>
        <w:rPr>
          <w:rFonts w:ascii="Arial" w:hAnsi="Arial" w:cs="Arial"/>
          <w:sz w:val="24"/>
          <w:szCs w:val="24"/>
        </w:rPr>
      </w:pPr>
      <w:r w:rsidRPr="007A6BC2">
        <w:rPr>
          <w:rFonts w:ascii="Arial" w:hAnsi="Arial" w:cs="Arial"/>
          <w:sz w:val="24"/>
          <w:szCs w:val="24"/>
        </w:rPr>
        <w:t>Personal Tutors to provide academic and personal support</w:t>
      </w:r>
      <w:r w:rsidR="007A6BC2">
        <w:rPr>
          <w:rFonts w:ascii="Arial" w:hAnsi="Arial" w:cs="Arial"/>
          <w:sz w:val="24"/>
          <w:szCs w:val="24"/>
        </w:rPr>
        <w:t>.</w:t>
      </w:r>
    </w:p>
    <w:p w:rsidRPr="007A6BC2" w:rsidR="00F00D94" w:rsidP="00F00D94" w:rsidRDefault="00F00D94" w14:paraId="6E97F168" w14:textId="19F8F7AB">
      <w:pPr>
        <w:pStyle w:val="ListParagraph"/>
        <w:numPr>
          <w:ilvl w:val="0"/>
          <w:numId w:val="14"/>
        </w:numPr>
        <w:rPr>
          <w:rFonts w:ascii="Arial" w:hAnsi="Arial" w:cs="Arial"/>
          <w:sz w:val="24"/>
          <w:szCs w:val="24"/>
        </w:rPr>
      </w:pPr>
      <w:r w:rsidRPr="007A6BC2">
        <w:rPr>
          <w:rFonts w:ascii="Arial" w:hAnsi="Arial" w:cs="Arial"/>
          <w:sz w:val="24"/>
          <w:szCs w:val="24"/>
        </w:rPr>
        <w:t>Technical support to advise students on IT and the use of software</w:t>
      </w:r>
      <w:r w:rsidR="007A6BC2">
        <w:rPr>
          <w:rFonts w:ascii="Arial" w:hAnsi="Arial" w:cs="Arial"/>
          <w:sz w:val="24"/>
          <w:szCs w:val="24"/>
        </w:rPr>
        <w:t>.</w:t>
      </w:r>
    </w:p>
    <w:p w:rsidRPr="007A6BC2" w:rsidR="00F00D94" w:rsidP="00F00D94" w:rsidRDefault="00F00D94" w14:paraId="561512CC" w14:textId="1C3587E5">
      <w:pPr>
        <w:pStyle w:val="ListParagraph"/>
        <w:numPr>
          <w:ilvl w:val="0"/>
          <w:numId w:val="14"/>
        </w:numPr>
        <w:rPr>
          <w:rFonts w:ascii="Arial" w:hAnsi="Arial" w:cs="Arial"/>
          <w:sz w:val="24"/>
          <w:szCs w:val="24"/>
        </w:rPr>
      </w:pPr>
      <w:r w:rsidRPr="007A6BC2">
        <w:rPr>
          <w:rFonts w:ascii="Arial" w:hAnsi="Arial" w:cs="Arial"/>
          <w:sz w:val="24"/>
          <w:szCs w:val="24"/>
        </w:rPr>
        <w:t>A designated programme administrator</w:t>
      </w:r>
      <w:r w:rsidR="007A6BC2">
        <w:rPr>
          <w:rFonts w:ascii="Arial" w:hAnsi="Arial" w:cs="Arial"/>
          <w:sz w:val="24"/>
          <w:szCs w:val="24"/>
        </w:rPr>
        <w:t>.</w:t>
      </w:r>
    </w:p>
    <w:p w:rsidRPr="007A6BC2" w:rsidR="00F00D94" w:rsidP="00F00D94" w:rsidRDefault="00F00D94" w14:paraId="017F0B3B" w14:textId="013CF809">
      <w:pPr>
        <w:pStyle w:val="ListParagraph"/>
        <w:numPr>
          <w:ilvl w:val="0"/>
          <w:numId w:val="14"/>
        </w:numPr>
        <w:rPr>
          <w:rFonts w:ascii="Arial" w:hAnsi="Arial" w:cs="Arial"/>
          <w:sz w:val="24"/>
          <w:szCs w:val="24"/>
        </w:rPr>
      </w:pPr>
      <w:r w:rsidRPr="007A6BC2">
        <w:rPr>
          <w:rFonts w:ascii="Arial" w:hAnsi="Arial" w:cs="Arial"/>
          <w:sz w:val="24"/>
          <w:szCs w:val="24"/>
        </w:rPr>
        <w:t>An induction week at the beginning of each new academic session</w:t>
      </w:r>
      <w:r w:rsidR="007A6BC2">
        <w:rPr>
          <w:rFonts w:ascii="Arial" w:hAnsi="Arial" w:cs="Arial"/>
          <w:sz w:val="24"/>
          <w:szCs w:val="24"/>
        </w:rPr>
        <w:t>.</w:t>
      </w:r>
    </w:p>
    <w:p w:rsidRPr="007A6BC2" w:rsidR="00F00D94" w:rsidP="00F00D94" w:rsidRDefault="00F00D94" w14:paraId="01DE983A" w14:textId="41FC2B3B">
      <w:pPr>
        <w:pStyle w:val="ListParagraph"/>
        <w:numPr>
          <w:ilvl w:val="0"/>
          <w:numId w:val="14"/>
        </w:numPr>
        <w:rPr>
          <w:rFonts w:ascii="Arial" w:hAnsi="Arial" w:cs="Arial"/>
          <w:sz w:val="24"/>
          <w:szCs w:val="24"/>
        </w:rPr>
      </w:pPr>
      <w:r w:rsidRPr="007A6BC2">
        <w:rPr>
          <w:rFonts w:ascii="Arial" w:hAnsi="Arial" w:cs="Arial"/>
          <w:sz w:val="24"/>
          <w:szCs w:val="24"/>
        </w:rPr>
        <w:t>Canvas – a versatile on-line interactive intranet and learning environment</w:t>
      </w:r>
      <w:r w:rsidR="007A6BC2">
        <w:rPr>
          <w:rFonts w:ascii="Arial" w:hAnsi="Arial" w:cs="Arial"/>
          <w:sz w:val="24"/>
          <w:szCs w:val="24"/>
        </w:rPr>
        <w:t>.</w:t>
      </w:r>
    </w:p>
    <w:p w:rsidRPr="007A6BC2" w:rsidR="00F00D94" w:rsidP="00F00D94" w:rsidRDefault="00F00D94" w14:paraId="51BFE66E" w14:textId="6C6BEA4C">
      <w:pPr>
        <w:pStyle w:val="ListParagraph"/>
        <w:numPr>
          <w:ilvl w:val="0"/>
          <w:numId w:val="14"/>
        </w:numPr>
        <w:rPr>
          <w:rFonts w:ascii="Arial" w:hAnsi="Arial" w:cs="Arial"/>
          <w:sz w:val="24"/>
          <w:szCs w:val="24"/>
        </w:rPr>
      </w:pPr>
      <w:r w:rsidRPr="007A6BC2">
        <w:rPr>
          <w:rFonts w:ascii="Arial" w:hAnsi="Arial" w:cs="Arial"/>
          <w:sz w:val="24"/>
          <w:szCs w:val="24"/>
        </w:rPr>
        <w:t>Student Voice Committee</w:t>
      </w:r>
      <w:r w:rsidR="007A6BC2">
        <w:rPr>
          <w:rFonts w:ascii="Arial" w:hAnsi="Arial" w:cs="Arial"/>
          <w:sz w:val="24"/>
          <w:szCs w:val="24"/>
        </w:rPr>
        <w:t>.</w:t>
      </w:r>
    </w:p>
    <w:p w:rsidRPr="007A6BC2" w:rsidR="00F00D94" w:rsidP="00F00D94" w:rsidRDefault="00F00D94" w14:paraId="49F7F110" w14:textId="17365654">
      <w:pPr>
        <w:pStyle w:val="ListParagraph"/>
        <w:numPr>
          <w:ilvl w:val="0"/>
          <w:numId w:val="14"/>
        </w:numPr>
        <w:rPr>
          <w:rFonts w:ascii="Arial" w:hAnsi="Arial" w:cs="Arial"/>
          <w:sz w:val="24"/>
          <w:szCs w:val="24"/>
        </w:rPr>
      </w:pPr>
      <w:r w:rsidRPr="007A6BC2">
        <w:rPr>
          <w:rFonts w:ascii="Arial" w:hAnsi="Arial" w:cs="Arial"/>
          <w:sz w:val="24"/>
          <w:szCs w:val="24"/>
        </w:rPr>
        <w:t>Academic Success Centre that provides academic skills support</w:t>
      </w:r>
      <w:r w:rsidR="007A6BC2">
        <w:rPr>
          <w:rFonts w:ascii="Arial" w:hAnsi="Arial" w:cs="Arial"/>
          <w:sz w:val="24"/>
          <w:szCs w:val="24"/>
        </w:rPr>
        <w:t>.</w:t>
      </w:r>
    </w:p>
    <w:p w:rsidRPr="007A6BC2" w:rsidR="00F00D94" w:rsidP="00F00D94" w:rsidRDefault="00F00D94" w14:paraId="47E7CA41" w14:textId="77777777">
      <w:pPr>
        <w:pStyle w:val="ListParagraph"/>
        <w:numPr>
          <w:ilvl w:val="0"/>
          <w:numId w:val="14"/>
        </w:numPr>
        <w:rPr>
          <w:rFonts w:ascii="Arial" w:hAnsi="Arial" w:cs="Arial"/>
          <w:sz w:val="24"/>
          <w:szCs w:val="24"/>
        </w:rPr>
      </w:pPr>
      <w:r w:rsidRPr="007A6BC2">
        <w:rPr>
          <w:rFonts w:ascii="Arial" w:hAnsi="Arial" w:cs="Arial"/>
          <w:sz w:val="24"/>
          <w:szCs w:val="24"/>
        </w:rPr>
        <w:t>Student support facilities that provide advice on issues such as finance, regulations, legal matters, accommodation, international student support etc.</w:t>
      </w:r>
    </w:p>
    <w:p w:rsidRPr="007A6BC2" w:rsidR="00F00D94" w:rsidP="00F00D94" w:rsidRDefault="00F00D94" w14:paraId="2246F87B" w14:textId="68371A42">
      <w:pPr>
        <w:pStyle w:val="ListParagraph"/>
        <w:numPr>
          <w:ilvl w:val="0"/>
          <w:numId w:val="14"/>
        </w:numPr>
        <w:rPr>
          <w:rFonts w:ascii="Arial" w:hAnsi="Arial" w:cs="Arial"/>
          <w:sz w:val="24"/>
          <w:szCs w:val="24"/>
        </w:rPr>
      </w:pPr>
      <w:r w:rsidRPr="007A6BC2">
        <w:rPr>
          <w:rFonts w:ascii="Arial" w:hAnsi="Arial" w:cs="Arial"/>
          <w:sz w:val="24"/>
          <w:szCs w:val="24"/>
        </w:rPr>
        <w:t>Disabled student support</w:t>
      </w:r>
      <w:r w:rsidR="007A6BC2">
        <w:rPr>
          <w:rFonts w:ascii="Arial" w:hAnsi="Arial" w:cs="Arial"/>
          <w:sz w:val="24"/>
          <w:szCs w:val="24"/>
        </w:rPr>
        <w:t>.</w:t>
      </w:r>
    </w:p>
    <w:p w:rsidRPr="007A6BC2" w:rsidR="00F00D94" w:rsidP="00F00D94" w:rsidRDefault="00F00D94" w14:paraId="17B74A7F" w14:textId="69D7D2FD">
      <w:pPr>
        <w:pStyle w:val="ListParagraph"/>
        <w:numPr>
          <w:ilvl w:val="0"/>
          <w:numId w:val="14"/>
        </w:numPr>
        <w:rPr>
          <w:rFonts w:ascii="Arial" w:hAnsi="Arial" w:cs="Arial"/>
          <w:sz w:val="24"/>
          <w:szCs w:val="24"/>
        </w:rPr>
      </w:pPr>
      <w:r w:rsidRPr="007A6BC2">
        <w:rPr>
          <w:rFonts w:ascii="Arial" w:hAnsi="Arial" w:cs="Arial"/>
          <w:sz w:val="24"/>
          <w:szCs w:val="24"/>
        </w:rPr>
        <w:t>Union of Kingston Students</w:t>
      </w:r>
      <w:r w:rsidR="007A6BC2">
        <w:rPr>
          <w:rFonts w:ascii="Arial" w:hAnsi="Arial" w:cs="Arial"/>
          <w:sz w:val="24"/>
          <w:szCs w:val="24"/>
        </w:rPr>
        <w:t>.</w:t>
      </w:r>
    </w:p>
    <w:p w:rsidRPr="007A6BC2" w:rsidR="00F00D94" w:rsidP="00F00D94" w:rsidRDefault="00F00D94" w14:paraId="6DB1AC5F" w14:textId="679ACCEC">
      <w:pPr>
        <w:pStyle w:val="ListParagraph"/>
        <w:numPr>
          <w:ilvl w:val="0"/>
          <w:numId w:val="14"/>
        </w:numPr>
        <w:rPr>
          <w:rFonts w:ascii="Arial" w:hAnsi="Arial" w:cs="Arial"/>
          <w:sz w:val="24"/>
          <w:szCs w:val="24"/>
        </w:rPr>
      </w:pPr>
      <w:r w:rsidRPr="007A6BC2">
        <w:rPr>
          <w:rFonts w:ascii="Arial" w:hAnsi="Arial" w:cs="Arial"/>
          <w:sz w:val="24"/>
          <w:szCs w:val="24"/>
        </w:rPr>
        <w:t>Careers and Employability Service</w:t>
      </w:r>
      <w:r w:rsidR="007A6BC2">
        <w:rPr>
          <w:rFonts w:ascii="Arial" w:hAnsi="Arial" w:cs="Arial"/>
          <w:sz w:val="24"/>
          <w:szCs w:val="24"/>
        </w:rPr>
        <w:t>.</w:t>
      </w:r>
    </w:p>
    <w:p w:rsidRPr="007A6BC2" w:rsidR="00F00D94" w:rsidP="00F00D94" w:rsidRDefault="00F00D94" w14:paraId="542EA83B" w14:textId="16D1E34C">
      <w:pPr>
        <w:pStyle w:val="ListParagraph"/>
        <w:numPr>
          <w:ilvl w:val="0"/>
          <w:numId w:val="14"/>
        </w:numPr>
        <w:rPr>
          <w:rFonts w:ascii="Arial" w:hAnsi="Arial" w:cs="Arial"/>
          <w:sz w:val="24"/>
          <w:szCs w:val="24"/>
        </w:rPr>
      </w:pPr>
      <w:r w:rsidRPr="007A6BC2">
        <w:rPr>
          <w:rFonts w:ascii="Arial" w:hAnsi="Arial" w:cs="Arial"/>
          <w:sz w:val="24"/>
          <w:szCs w:val="24"/>
        </w:rPr>
        <w:t>Mock interviews</w:t>
      </w:r>
      <w:r w:rsidR="007A6BC2">
        <w:rPr>
          <w:rFonts w:ascii="Arial" w:hAnsi="Arial" w:cs="Arial"/>
          <w:sz w:val="24"/>
          <w:szCs w:val="24"/>
        </w:rPr>
        <w:t>.</w:t>
      </w:r>
    </w:p>
    <w:p w:rsidR="00F00D94" w:rsidP="00F00D94" w:rsidRDefault="2F66C1FA" w14:paraId="1CF8B2AE" w14:textId="2ED76A57">
      <w:pPr>
        <w:pStyle w:val="ListParagraph"/>
        <w:numPr>
          <w:ilvl w:val="0"/>
          <w:numId w:val="14"/>
        </w:numPr>
        <w:rPr>
          <w:rFonts w:ascii="Arial" w:hAnsi="Arial" w:cs="Arial"/>
          <w:sz w:val="24"/>
          <w:szCs w:val="24"/>
        </w:rPr>
      </w:pPr>
      <w:r w:rsidRPr="2F66C1FA">
        <w:rPr>
          <w:rFonts w:ascii="Arial" w:hAnsi="Arial" w:cs="Arial"/>
          <w:sz w:val="24"/>
          <w:szCs w:val="24"/>
        </w:rPr>
        <w:t>Apply workshops to support students in their learning.</w:t>
      </w:r>
    </w:p>
    <w:p w:rsidRPr="007A6BC2" w:rsidR="007A6BC2" w:rsidP="007A6BC2" w:rsidRDefault="007A6BC2" w14:paraId="42CD6691" w14:textId="77777777">
      <w:pPr>
        <w:pStyle w:val="ListParagraph"/>
        <w:rPr>
          <w:rFonts w:ascii="Arial" w:hAnsi="Arial" w:cs="Arial"/>
          <w:sz w:val="24"/>
          <w:szCs w:val="24"/>
        </w:rPr>
      </w:pPr>
    </w:p>
    <w:p w:rsidRPr="00003008" w:rsidR="002102BE" w:rsidP="002102BE" w:rsidRDefault="002102BE" w14:paraId="5FECFBE9" w14:textId="77777777">
      <w:pPr>
        <w:pStyle w:val="Heading2"/>
      </w:pPr>
      <w:r w:rsidRPr="000765B1">
        <w:t>Ensuring and Enhancing the Quality of the Course</w:t>
      </w:r>
    </w:p>
    <w:p w:rsidRPr="00003008" w:rsidR="002102BE" w:rsidP="002102BE" w:rsidRDefault="002102BE" w14:paraId="2188F4E9" w14:textId="77777777">
      <w:pPr>
        <w:rPr>
          <w:rFonts w:cs="Arial"/>
        </w:rPr>
      </w:pPr>
      <w:r w:rsidRPr="1CE2BC51">
        <w:rPr>
          <w:rFonts w:cs="Arial"/>
        </w:rPr>
        <w:t>The University has several methods for evaluating and improving the quality and standards of its provision. These include:</w:t>
      </w:r>
    </w:p>
    <w:p w:rsidRPr="00003008" w:rsidR="002102BE" w:rsidP="002102BE" w:rsidRDefault="002102BE" w14:paraId="1E284B44" w14:textId="77777777">
      <w:pPr>
        <w:numPr>
          <w:ilvl w:val="0"/>
          <w:numId w:val="2"/>
        </w:numPr>
        <w:rPr>
          <w:rFonts w:cs="Arial"/>
        </w:rPr>
      </w:pPr>
      <w:r w:rsidRPr="00003008">
        <w:rPr>
          <w:rFonts w:cs="Arial"/>
        </w:rPr>
        <w:t>External examiners</w:t>
      </w:r>
    </w:p>
    <w:p w:rsidRPr="00003008" w:rsidR="002102BE" w:rsidP="002102BE" w:rsidRDefault="00F0028D" w14:paraId="0ADC2129" w14:textId="7B1BE806">
      <w:pPr>
        <w:numPr>
          <w:ilvl w:val="0"/>
          <w:numId w:val="2"/>
        </w:numPr>
        <w:rPr>
          <w:rFonts w:cs="Arial"/>
        </w:rPr>
      </w:pPr>
      <w:r>
        <w:rPr>
          <w:rFonts w:cs="Arial"/>
        </w:rPr>
        <w:t xml:space="preserve">School Education </w:t>
      </w:r>
      <w:r w:rsidR="00DF523F">
        <w:rPr>
          <w:rFonts w:cs="Arial"/>
        </w:rPr>
        <w:t>Committee</w:t>
      </w:r>
      <w:r w:rsidRPr="00003008" w:rsidR="002102BE">
        <w:rPr>
          <w:rFonts w:cs="Arial"/>
        </w:rPr>
        <w:t xml:space="preserve"> with student representation</w:t>
      </w:r>
    </w:p>
    <w:p w:rsidRPr="00003008" w:rsidR="002102BE" w:rsidP="002102BE" w:rsidRDefault="002102BE" w14:paraId="39F0D0E0" w14:textId="77777777">
      <w:pPr>
        <w:numPr>
          <w:ilvl w:val="0"/>
          <w:numId w:val="2"/>
        </w:numPr>
        <w:rPr>
          <w:rFonts w:cs="Arial"/>
        </w:rPr>
      </w:pPr>
      <w:r w:rsidRPr="00003008">
        <w:rPr>
          <w:rFonts w:cs="Arial"/>
        </w:rPr>
        <w:t>Annual Monitoring and Enhancement</w:t>
      </w:r>
    </w:p>
    <w:p w:rsidRPr="00003008" w:rsidR="002102BE" w:rsidP="002102BE" w:rsidRDefault="002102BE" w14:paraId="6689F6F1" w14:textId="77777777">
      <w:pPr>
        <w:numPr>
          <w:ilvl w:val="0"/>
          <w:numId w:val="2"/>
        </w:numPr>
        <w:rPr>
          <w:rFonts w:cs="Arial"/>
        </w:rPr>
      </w:pPr>
      <w:r w:rsidRPr="00003008">
        <w:rPr>
          <w:rFonts w:cs="Arial"/>
        </w:rPr>
        <w:t>Continuous Monitoring of courses through the Kingston Course Enhancement Programme (KCEP+)</w:t>
      </w:r>
    </w:p>
    <w:p w:rsidRPr="00003008" w:rsidR="002102BE" w:rsidP="002102BE" w:rsidRDefault="002102BE" w14:paraId="55D36606" w14:textId="77777777">
      <w:pPr>
        <w:numPr>
          <w:ilvl w:val="0"/>
          <w:numId w:val="2"/>
        </w:numPr>
        <w:rPr>
          <w:rFonts w:cs="Arial"/>
        </w:rPr>
      </w:pPr>
      <w:r w:rsidRPr="00003008">
        <w:rPr>
          <w:rFonts w:cs="Arial"/>
        </w:rPr>
        <w:t>Student evaluation including Module Evaluation Questionnaires (MEQs), level surveys and the National Student Survey (NSS)</w:t>
      </w:r>
    </w:p>
    <w:p w:rsidRPr="00003008" w:rsidR="002102BE" w:rsidP="002102BE" w:rsidRDefault="002102BE" w14:paraId="29FDD24B" w14:textId="77777777">
      <w:pPr>
        <w:numPr>
          <w:ilvl w:val="0"/>
          <w:numId w:val="2"/>
        </w:numPr>
        <w:rPr>
          <w:rFonts w:cs="Arial"/>
        </w:rPr>
      </w:pPr>
      <w:r w:rsidRPr="00003008">
        <w:rPr>
          <w:rFonts w:cs="Arial"/>
        </w:rPr>
        <w:t>Moderation</w:t>
      </w:r>
      <w:r w:rsidRPr="00003008">
        <w:rPr>
          <w:rFonts w:cs="Arial"/>
        </w:rPr>
        <w:fldChar w:fldCharType="begin"/>
      </w:r>
      <w:r w:rsidRPr="00003008">
        <w:rPr>
          <w:rFonts w:cs="Arial"/>
        </w:rPr>
        <w:instrText xml:space="preserve"> XE "</w:instrText>
      </w:r>
      <w:r w:rsidRPr="00003008">
        <w:rPr>
          <w:rFonts w:cs="Arial"/>
          <w:b/>
          <w:noProof/>
        </w:rPr>
        <w:instrText>Moderation</w:instrText>
      </w:r>
      <w:r w:rsidRPr="00003008">
        <w:rPr>
          <w:rFonts w:cs="Arial"/>
        </w:rPr>
        <w:instrText xml:space="preserve">" </w:instrText>
      </w:r>
      <w:r w:rsidRPr="00003008">
        <w:rPr>
          <w:rFonts w:cs="Arial"/>
        </w:rPr>
        <w:fldChar w:fldCharType="end"/>
      </w:r>
      <w:r w:rsidRPr="00003008">
        <w:rPr>
          <w:rFonts w:cs="Arial"/>
        </w:rPr>
        <w:t xml:space="preserve"> policies</w:t>
      </w:r>
    </w:p>
    <w:p w:rsidR="002102BE" w:rsidP="002102BE" w:rsidRDefault="002102BE" w14:paraId="0979401F" w14:textId="77777777">
      <w:pPr>
        <w:numPr>
          <w:ilvl w:val="0"/>
          <w:numId w:val="2"/>
        </w:numPr>
        <w:rPr>
          <w:rFonts w:cs="Arial"/>
        </w:rPr>
      </w:pPr>
      <w:r w:rsidRPr="00003008">
        <w:rPr>
          <w:rFonts w:cs="Arial"/>
        </w:rPr>
        <w:t>Feedback from employers</w:t>
      </w:r>
    </w:p>
    <w:p w:rsidRPr="000765B1" w:rsidR="00A92C9B" w:rsidP="00A92C9B" w:rsidRDefault="00A92C9B" w14:paraId="3B9858B7" w14:textId="77777777">
      <w:pPr>
        <w:rPr>
          <w:rFonts w:cs="Arial"/>
          <w:b/>
          <w:sz w:val="22"/>
          <w:szCs w:val="22"/>
        </w:rPr>
      </w:pPr>
    </w:p>
    <w:p w:rsidRPr="00003008" w:rsidR="00A92C9B" w:rsidP="00003008" w:rsidRDefault="00A92C9B" w14:paraId="4EFBD58D" w14:textId="66F1CF92">
      <w:pPr>
        <w:pStyle w:val="Heading2"/>
      </w:pPr>
      <w:r w:rsidRPr="000765B1">
        <w:t xml:space="preserve">Employability and work-based learning </w:t>
      </w:r>
    </w:p>
    <w:p w:rsidR="002102BE" w:rsidP="2F66C1FA" w:rsidRDefault="2F66C1FA" w14:paraId="0C4581BA" w14:textId="2DFCF945">
      <w:pPr>
        <w:jc w:val="both"/>
        <w:rPr>
          <w:rFonts w:cs="Arial"/>
          <w:b/>
          <w:bCs/>
        </w:rPr>
      </w:pPr>
      <w:r w:rsidRPr="2F66C1FA">
        <w:rPr>
          <w:rFonts w:cs="Arial"/>
          <w:color w:val="000000" w:themeColor="text1"/>
        </w:rPr>
        <w:t>The core programmes comprising the advanced pharmaceutics year are specifically tailored to equip students to work in one of the many roles that exist in the pharmaceutical industry and related areas of the public sector.</w:t>
      </w:r>
      <w:r w:rsidRPr="2F66C1FA">
        <w:rPr>
          <w:rFonts w:cs="Arial"/>
          <w:b/>
          <w:bCs/>
        </w:rPr>
        <w:t xml:space="preserve"> </w:t>
      </w:r>
    </w:p>
    <w:p w:rsidRPr="000D5DFE" w:rsidR="000D5DFE" w:rsidP="002102BE" w:rsidRDefault="000D5DFE" w14:paraId="02CD52DE" w14:textId="706F041C">
      <w:pPr>
        <w:jc w:val="both"/>
        <w:rPr>
          <w:rFonts w:cs="Arial"/>
          <w:color w:val="000000"/>
        </w:rPr>
      </w:pPr>
      <w:r w:rsidRPr="000D5DFE">
        <w:rPr>
          <w:rFonts w:cs="Arial"/>
          <w:color w:val="000000"/>
        </w:rPr>
        <w:t xml:space="preserve">Work-based learning can take many forms, including internships and industry-sponsored research projects. These opportunities allow students to apply the knowledge and skills they have learned in the classroom to real-world situations and </w:t>
      </w:r>
      <w:r w:rsidRPr="000D5DFE">
        <w:rPr>
          <w:rFonts w:cs="Arial"/>
          <w:color w:val="000000"/>
        </w:rPr>
        <w:lastRenderedPageBreak/>
        <w:t>gain hands-on experience. This type of learning is beneficial as it helps students to develop the skills that are essential for success in the pharmaceutical industry such as teamwork, communication, problem-solving, and critical thinking.</w:t>
      </w:r>
    </w:p>
    <w:p w:rsidRPr="00003008" w:rsidR="00A92C9B" w:rsidP="6D871E81" w:rsidRDefault="6D871E81" w14:paraId="3A072B1D" w14:textId="44ADD5E2">
      <w:pPr>
        <w:widowControl w:val="0"/>
        <w:spacing w:after="240"/>
        <w:jc w:val="both"/>
        <w:rPr>
          <w:b/>
          <w:bCs/>
        </w:rPr>
      </w:pPr>
      <w:r w:rsidRPr="6D871E81">
        <w:rPr>
          <w:rFonts w:cs="Arial"/>
        </w:rPr>
        <w:t xml:space="preserve">The research project module builds skills to make students reflect on and develop the attributes that employers seek in graduates.  These include independent learning, time management skills, </w:t>
      </w:r>
      <w:proofErr w:type="gramStart"/>
      <w:r w:rsidRPr="6D871E81">
        <w:rPr>
          <w:rFonts w:cs="Arial"/>
        </w:rPr>
        <w:t>verbal</w:t>
      </w:r>
      <w:proofErr w:type="gramEnd"/>
      <w:r w:rsidRPr="6D871E81">
        <w:rPr>
          <w:rFonts w:cs="Arial"/>
        </w:rPr>
        <w:t xml:space="preserve"> and written communication skills. A number of these skills are also developed through group work and presentations in other modules. This top up year has been designed to cater to the current competencies needed by the pharmaceutical sector, with a focus on advanced formulations, delivery systems for small biologics, Quality by Design (</w:t>
      </w:r>
      <w:proofErr w:type="spellStart"/>
      <w:r w:rsidRPr="6D871E81">
        <w:rPr>
          <w:rFonts w:cs="Arial"/>
        </w:rPr>
        <w:t>QbD</w:t>
      </w:r>
      <w:proofErr w:type="spellEnd"/>
      <w:r w:rsidRPr="6D871E81">
        <w:rPr>
          <w:rFonts w:cs="Arial"/>
        </w:rPr>
        <w:t>), and regulatory compliance as key areas of emphasis in this crucial field. Entrepreneurship and business development is one of Kingston’s University values, through this top year, students can learn about developing new products and services in the field. An essential role of the personal tutor system is to encourage students to develop such skills.</w:t>
      </w:r>
    </w:p>
    <w:p w:rsidRPr="00003008" w:rsidR="00A92C9B" w:rsidP="6D871E81" w:rsidRDefault="6D871E81" w14:paraId="2D990C60" w14:textId="61368BE7">
      <w:pPr>
        <w:widowControl w:val="0"/>
        <w:spacing w:after="240"/>
        <w:jc w:val="both"/>
        <w:rPr>
          <w:b/>
          <w:bCs/>
        </w:rPr>
      </w:pPr>
      <w:r w:rsidRPr="6D871E81">
        <w:rPr>
          <w:b/>
          <w:bCs/>
        </w:rPr>
        <w:t xml:space="preserve">Work-based learning, including sandwich courses and higher or degree </w:t>
      </w:r>
      <w:proofErr w:type="gramStart"/>
      <w:r w:rsidRPr="6D871E81">
        <w:rPr>
          <w:b/>
          <w:bCs/>
        </w:rPr>
        <w:t>apprenticeships</w:t>
      </w:r>
      <w:proofErr w:type="gramEnd"/>
    </w:p>
    <w:p w:rsidRPr="000765B1" w:rsidR="00AA401E" w:rsidP="00003008" w:rsidRDefault="00A92C9B" w14:paraId="3BA870EC" w14:textId="7176F3DE">
      <w: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Pr="00003008" w:rsidR="00A92C9B" w:rsidP="00003008" w:rsidRDefault="00A92C9B" w14:paraId="308DA0CA" w14:textId="3B296C38">
      <w:pPr>
        <w:pStyle w:val="Heading2"/>
      </w:pPr>
      <w:r w:rsidRPr="000765B1">
        <w:t xml:space="preserve">Other sources of information that you may wish to </w:t>
      </w:r>
      <w:proofErr w:type="gramStart"/>
      <w:r w:rsidRPr="000765B1">
        <w:t>consult</w:t>
      </w:r>
      <w:proofErr w:type="gramEnd"/>
    </w:p>
    <w:p w:rsidRPr="00FD40AC" w:rsidR="004613DA" w:rsidP="004613DA" w:rsidRDefault="00FD40AC" w14:paraId="0084677C" w14:textId="05B58631">
      <w:r w:rsidRPr="00FD40AC">
        <w:t>The Academy of Pharmaceutical Sciences</w:t>
      </w:r>
    </w:p>
    <w:p w:rsidRPr="00FD40AC" w:rsidR="00FD40AC" w:rsidP="004613DA" w:rsidRDefault="00FD40AC" w14:paraId="1FE9C2A5" w14:textId="0D9F3C34">
      <w:pPr>
        <w:rPr>
          <w:rStyle w:val="Hyperlink"/>
        </w:rPr>
      </w:pPr>
      <w:r w:rsidRPr="00FD40AC">
        <w:rPr>
          <w:rStyle w:val="Hyperlink"/>
        </w:rPr>
        <w:t>https://www.apsgb.co.uk/</w:t>
      </w:r>
    </w:p>
    <w:p w:rsidRPr="002D232B" w:rsidR="004613DA" w:rsidP="004613DA" w:rsidRDefault="004613DA" w14:paraId="7282A941" w14:textId="77777777">
      <w:pPr>
        <w:rPr>
          <w:rFonts w:cs="Arial"/>
          <w:shd w:val="clear" w:color="auto" w:fill="FFFFFF"/>
        </w:rPr>
      </w:pPr>
      <w:r w:rsidRPr="002D232B">
        <w:rPr>
          <w:rFonts w:cs="Arial"/>
          <w:shd w:val="clear" w:color="auto" w:fill="FFFFFF"/>
        </w:rPr>
        <w:t>Royal Pharmaceutical Society</w:t>
      </w:r>
    </w:p>
    <w:p w:rsidR="004613DA" w:rsidP="004613DA" w:rsidRDefault="00000000" w14:paraId="19A41F13" w14:textId="77777777">
      <w:pPr>
        <w:rPr>
          <w:rFonts w:cs="Arial"/>
          <w:color w:val="009933"/>
          <w:shd w:val="clear" w:color="auto" w:fill="FFFFFF"/>
        </w:rPr>
      </w:pPr>
      <w:hyperlink w:history="1" r:id="rId18">
        <w:r w:rsidRPr="00584709" w:rsidR="004613DA">
          <w:rPr>
            <w:rStyle w:val="Hyperlink"/>
            <w:rFonts w:cs="Arial"/>
            <w:shd w:val="clear" w:color="auto" w:fill="FFFFFF"/>
          </w:rPr>
          <w:t>www.rpharms.com/</w:t>
        </w:r>
      </w:hyperlink>
    </w:p>
    <w:p w:rsidRPr="002D232B" w:rsidR="004613DA" w:rsidP="004613DA" w:rsidRDefault="004613DA" w14:paraId="4848CFAD" w14:textId="77777777">
      <w:pPr>
        <w:rPr>
          <w:rFonts w:cs="Arial"/>
        </w:rPr>
      </w:pPr>
    </w:p>
    <w:p w:rsidRPr="002D232B" w:rsidR="004613DA" w:rsidP="004613DA" w:rsidRDefault="004613DA" w14:paraId="2C540D65" w14:textId="77777777">
      <w:pPr>
        <w:rPr>
          <w:rFonts w:cs="Arial"/>
        </w:rPr>
      </w:pPr>
      <w:r w:rsidRPr="002D232B">
        <w:rPr>
          <w:rFonts w:cs="Arial"/>
        </w:rPr>
        <w:t>Kingston University School of Pharmacy and Chemistry</w:t>
      </w:r>
    </w:p>
    <w:p w:rsidR="00A92C9B" w:rsidP="00003008" w:rsidRDefault="00000000" w14:paraId="6F1C5A55" w14:textId="216691FB">
      <w:hyperlink w:history="1" r:id="rId19">
        <w:r w:rsidR="00DF523F">
          <w:rPr>
            <w:rStyle w:val="Hyperlink"/>
          </w:rPr>
          <w:t>School of Life Sciences, Chemistry and Pharmacy - Kingston University London</w:t>
        </w:r>
      </w:hyperlink>
    </w:p>
    <w:p w:rsidRPr="00003008" w:rsidR="00DF523F" w:rsidP="00003008" w:rsidRDefault="00DF523F" w14:paraId="76FB121D" w14:textId="77777777">
      <w:pPr>
        <w:rPr>
          <w:color w:val="C00000"/>
        </w:rPr>
      </w:pPr>
    </w:p>
    <w:p w:rsidRPr="00003008" w:rsidR="00A92C9B" w:rsidP="00003008" w:rsidRDefault="00A92C9B" w14:paraId="160437A0" w14:textId="2700D6C0">
      <w:pPr>
        <w:pStyle w:val="Heading2"/>
        <w:rPr>
          <w:sz w:val="22"/>
          <w:szCs w:val="22"/>
        </w:rPr>
      </w:pPr>
      <w:r w:rsidRPr="000765B1">
        <w:t>Development of Course Learning Outcomes in Modules</w:t>
      </w:r>
    </w:p>
    <w:p w:rsidRPr="00003008" w:rsidR="00A92C9B" w:rsidP="004613DA" w:rsidRDefault="00A92C9B" w14:paraId="712BCAD5" w14:textId="1DF80C03">
      <w:pPr>
        <w:rPr>
          <w:color w:val="C00000"/>
        </w:rPr>
      </w:pPr>
      <w:r>
        <w:t xml:space="preserve">This table maps where course learning outcomes are </w:t>
      </w:r>
      <w:proofErr w:type="spellStart"/>
      <w:r w:rsidRPr="1CE2BC51">
        <w:rPr>
          <w:b/>
          <w:bCs/>
        </w:rPr>
        <w:t>summatively</w:t>
      </w:r>
      <w:proofErr w:type="spellEnd"/>
      <w: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Pr="00DA2044" w:rsidR="00BF0F40" w:rsidP="00A92C9B" w:rsidRDefault="00BF0F40" w14:paraId="692C795E" w14:textId="77777777">
      <w:pPr>
        <w:rPr>
          <w:rFonts w:cs="Arial"/>
        </w:rPr>
      </w:pPr>
    </w:p>
    <w:tbl>
      <w:tblPr>
        <w:tblStyle w:val="TableGrid"/>
        <w:tblW w:w="7083" w:type="dxa"/>
        <w:tblLayout w:type="fixed"/>
        <w:tblLook w:val="04A0" w:firstRow="1" w:lastRow="0" w:firstColumn="1" w:lastColumn="0" w:noHBand="0" w:noVBand="1"/>
      </w:tblPr>
      <w:tblGrid>
        <w:gridCol w:w="2147"/>
        <w:gridCol w:w="1178"/>
        <w:gridCol w:w="923"/>
        <w:gridCol w:w="845"/>
        <w:gridCol w:w="998"/>
        <w:gridCol w:w="992"/>
      </w:tblGrid>
      <w:tr w:rsidRPr="000765B1" w:rsidR="005379CD" w:rsidTr="005379CD" w14:paraId="6FB1644D" w14:textId="77777777">
        <w:trPr>
          <w:trHeight w:val="712"/>
        </w:trPr>
        <w:tc>
          <w:tcPr>
            <w:tcW w:w="2147" w:type="dxa"/>
          </w:tcPr>
          <w:p w:rsidRPr="000765B1" w:rsidR="005379CD" w:rsidP="00BF0F40" w:rsidRDefault="005379CD" w14:paraId="0AA0A177" w14:textId="77777777">
            <w:pPr>
              <w:keepNext/>
              <w:keepLines/>
              <w:rPr>
                <w:rFonts w:cs="Arial"/>
                <w:sz w:val="20"/>
                <w:szCs w:val="20"/>
              </w:rPr>
            </w:pPr>
          </w:p>
          <w:p w:rsidRPr="000765B1" w:rsidR="005379CD" w:rsidP="00BF0F40" w:rsidRDefault="005379CD" w14:paraId="4F5F11EB" w14:textId="77777777">
            <w:pPr>
              <w:keepNext/>
              <w:keepLines/>
              <w:rPr>
                <w:rFonts w:cs="Arial"/>
                <w:sz w:val="20"/>
                <w:szCs w:val="20"/>
              </w:rPr>
            </w:pPr>
          </w:p>
          <w:p w:rsidRPr="000765B1" w:rsidR="005379CD" w:rsidP="00BF0F40" w:rsidRDefault="005379CD" w14:paraId="69F0D4C0" w14:textId="77777777">
            <w:pPr>
              <w:keepNext/>
              <w:keepLines/>
              <w:rPr>
                <w:rFonts w:cs="Arial"/>
                <w:sz w:val="20"/>
                <w:szCs w:val="20"/>
              </w:rPr>
            </w:pPr>
          </w:p>
        </w:tc>
        <w:tc>
          <w:tcPr>
            <w:tcW w:w="1178" w:type="dxa"/>
          </w:tcPr>
          <w:p w:rsidRPr="000765B1" w:rsidR="005379CD" w:rsidP="00BF0F40" w:rsidRDefault="005379CD" w14:paraId="5087152A" w14:textId="77777777">
            <w:pPr>
              <w:keepNext/>
              <w:keepLines/>
              <w:rPr>
                <w:rFonts w:cs="Arial"/>
                <w:sz w:val="20"/>
                <w:szCs w:val="20"/>
              </w:rPr>
            </w:pPr>
          </w:p>
          <w:p w:rsidRPr="000765B1" w:rsidR="005379CD" w:rsidP="00BF0F40" w:rsidRDefault="005379CD" w14:paraId="6943D12F" w14:textId="17DE5BA3">
            <w:pPr>
              <w:keepNext/>
              <w:keepLines/>
              <w:rPr>
                <w:rFonts w:cs="Arial"/>
                <w:b/>
                <w:sz w:val="20"/>
                <w:szCs w:val="20"/>
              </w:rPr>
            </w:pPr>
          </w:p>
        </w:tc>
        <w:tc>
          <w:tcPr>
            <w:tcW w:w="3758" w:type="dxa"/>
            <w:gridSpan w:val="4"/>
            <w:vAlign w:val="center"/>
          </w:tcPr>
          <w:p w:rsidRPr="000765B1" w:rsidR="005379CD" w:rsidP="005379CD" w:rsidRDefault="005379CD" w14:paraId="31FD0019" w14:textId="79E3D558">
            <w:pPr>
              <w:keepNext/>
              <w:keepLines/>
              <w:jc w:val="center"/>
              <w:rPr>
                <w:rFonts w:cs="Arial"/>
                <w:b/>
                <w:sz w:val="20"/>
                <w:szCs w:val="20"/>
              </w:rPr>
            </w:pPr>
            <w:r w:rsidRPr="000765B1">
              <w:rPr>
                <w:rFonts w:cs="Arial"/>
                <w:b/>
                <w:sz w:val="20"/>
                <w:szCs w:val="20"/>
              </w:rPr>
              <w:t>Level 6</w:t>
            </w:r>
          </w:p>
        </w:tc>
      </w:tr>
      <w:tr w:rsidRPr="000765B1" w:rsidR="007820DD" w:rsidTr="00DF523F" w14:paraId="7148201C" w14:textId="77777777">
        <w:trPr>
          <w:trHeight w:val="1623"/>
        </w:trPr>
        <w:tc>
          <w:tcPr>
            <w:tcW w:w="2147" w:type="dxa"/>
          </w:tcPr>
          <w:p w:rsidRPr="000765B1" w:rsidR="007820DD" w:rsidP="007820DD" w:rsidRDefault="007820DD" w14:paraId="1F21ACD9" w14:textId="77777777">
            <w:pPr>
              <w:keepNext/>
              <w:keepLines/>
              <w:rPr>
                <w:rFonts w:cs="Arial"/>
                <w:sz w:val="20"/>
                <w:szCs w:val="20"/>
              </w:rPr>
            </w:pPr>
          </w:p>
        </w:tc>
        <w:tc>
          <w:tcPr>
            <w:tcW w:w="1178" w:type="dxa"/>
          </w:tcPr>
          <w:p w:rsidRPr="000765B1" w:rsidR="007820DD" w:rsidP="007820DD" w:rsidRDefault="007820DD" w14:paraId="0361C78D" w14:textId="486E2E91">
            <w:pPr>
              <w:keepNext/>
              <w:keepLines/>
              <w:rPr>
                <w:rFonts w:cs="Arial"/>
                <w:sz w:val="20"/>
                <w:szCs w:val="20"/>
              </w:rPr>
            </w:pPr>
            <w:r w:rsidRPr="000765B1">
              <w:rPr>
                <w:rFonts w:cs="Arial"/>
                <w:b/>
                <w:sz w:val="20"/>
                <w:szCs w:val="20"/>
              </w:rPr>
              <w:t>Module code</w:t>
            </w:r>
          </w:p>
        </w:tc>
        <w:tc>
          <w:tcPr>
            <w:tcW w:w="923" w:type="dxa"/>
            <w:textDirection w:val="btLr"/>
          </w:tcPr>
          <w:p w:rsidR="007820DD" w:rsidP="007820DD" w:rsidRDefault="2F66C1FA" w14:paraId="6038901F" w14:textId="77777777">
            <w:pPr>
              <w:keepNext/>
              <w:keepLines/>
              <w:rPr>
                <w:rFonts w:cs="Arial"/>
                <w:sz w:val="20"/>
                <w:szCs w:val="20"/>
              </w:rPr>
            </w:pPr>
            <w:r w:rsidRPr="2F66C1FA">
              <w:rPr>
                <w:rFonts w:cs="Arial"/>
                <w:sz w:val="20"/>
                <w:szCs w:val="20"/>
              </w:rPr>
              <w:t>PY6xxx</w:t>
            </w:r>
          </w:p>
          <w:p w:rsidRPr="00DF523F" w:rsidR="00DF523F" w:rsidP="00DF523F" w:rsidRDefault="00DF523F" w14:paraId="5C35C4E8" w14:textId="77777777">
            <w:pPr>
              <w:keepNext/>
              <w:keepLines/>
              <w:rPr>
                <w:rFonts w:cs="Arial"/>
                <w:sz w:val="16"/>
                <w:szCs w:val="16"/>
              </w:rPr>
            </w:pPr>
            <w:r w:rsidRPr="00DF523F">
              <w:rPr>
                <w:rFonts w:cs="Arial"/>
                <w:sz w:val="16"/>
                <w:szCs w:val="16"/>
              </w:rPr>
              <w:t>Infection, Immunology, Haematology, and</w:t>
            </w:r>
          </w:p>
          <w:p w:rsidRPr="000765B1" w:rsidR="00DF523F" w:rsidP="00DF523F" w:rsidRDefault="00DF523F" w14:paraId="6E9336DF" w14:textId="15CFCF6D">
            <w:pPr>
              <w:keepNext/>
              <w:keepLines/>
              <w:rPr>
                <w:rFonts w:cs="Arial"/>
                <w:sz w:val="20"/>
                <w:szCs w:val="20"/>
              </w:rPr>
            </w:pPr>
            <w:r w:rsidRPr="00DF523F">
              <w:rPr>
                <w:rFonts w:cs="Arial"/>
                <w:sz w:val="16"/>
                <w:szCs w:val="16"/>
              </w:rPr>
              <w:t>Cancer</w:t>
            </w:r>
          </w:p>
        </w:tc>
        <w:tc>
          <w:tcPr>
            <w:tcW w:w="845" w:type="dxa"/>
            <w:textDirection w:val="btLr"/>
          </w:tcPr>
          <w:p w:rsidR="007820DD" w:rsidP="007820DD" w:rsidRDefault="2F66C1FA" w14:paraId="5FBEC132" w14:textId="77777777">
            <w:pPr>
              <w:keepNext/>
              <w:keepLines/>
              <w:rPr>
                <w:rFonts w:cs="Arial"/>
                <w:sz w:val="20"/>
                <w:szCs w:val="20"/>
              </w:rPr>
            </w:pPr>
            <w:r w:rsidRPr="2F66C1FA">
              <w:rPr>
                <w:rFonts w:cs="Arial"/>
                <w:sz w:val="20"/>
                <w:szCs w:val="20"/>
              </w:rPr>
              <w:t>PY6xxx</w:t>
            </w:r>
          </w:p>
          <w:p w:rsidRPr="00DF523F" w:rsidR="00DF523F" w:rsidP="007820DD" w:rsidRDefault="00DF523F" w14:paraId="20ACEEEB" w14:textId="15A589B3">
            <w:pPr>
              <w:keepNext/>
              <w:keepLines/>
              <w:rPr>
                <w:rFonts w:cs="Arial"/>
                <w:sz w:val="16"/>
                <w:szCs w:val="16"/>
              </w:rPr>
            </w:pPr>
            <w:r w:rsidRPr="00DF523F">
              <w:rPr>
                <w:rFonts w:cs="Arial"/>
                <w:sz w:val="16"/>
                <w:szCs w:val="16"/>
              </w:rPr>
              <w:t>Pharmaceutical regulatory affairs</w:t>
            </w:r>
          </w:p>
        </w:tc>
        <w:tc>
          <w:tcPr>
            <w:tcW w:w="998" w:type="dxa"/>
            <w:textDirection w:val="btLr"/>
          </w:tcPr>
          <w:p w:rsidR="007820DD" w:rsidP="007820DD" w:rsidRDefault="2F66C1FA" w14:paraId="3C94E156" w14:textId="77777777">
            <w:pPr>
              <w:keepNext/>
              <w:keepLines/>
              <w:rPr>
                <w:rFonts w:cs="Arial"/>
                <w:sz w:val="20"/>
                <w:szCs w:val="20"/>
              </w:rPr>
            </w:pPr>
            <w:r w:rsidRPr="2F66C1FA">
              <w:rPr>
                <w:rFonts w:cs="Arial"/>
                <w:sz w:val="20"/>
                <w:szCs w:val="20"/>
              </w:rPr>
              <w:t>PY6xxx</w:t>
            </w:r>
          </w:p>
          <w:p w:rsidRPr="000765B1" w:rsidR="00DF523F" w:rsidP="00DF523F" w:rsidRDefault="00DF523F" w14:paraId="2556620C" w14:textId="2772B64F">
            <w:pPr>
              <w:keepNext/>
              <w:keepLines/>
              <w:rPr>
                <w:rFonts w:cs="Arial"/>
                <w:sz w:val="20"/>
                <w:szCs w:val="20"/>
              </w:rPr>
            </w:pPr>
            <w:r w:rsidRPr="00DF523F">
              <w:rPr>
                <w:rFonts w:cs="Arial"/>
                <w:sz w:val="16"/>
                <w:szCs w:val="16"/>
              </w:rPr>
              <w:t>Advanced formulations and drug delivery</w:t>
            </w:r>
            <w:r>
              <w:rPr>
                <w:rFonts w:cs="Arial"/>
                <w:sz w:val="16"/>
                <w:szCs w:val="16"/>
              </w:rPr>
              <w:t xml:space="preserve"> </w:t>
            </w:r>
            <w:r w:rsidRPr="00DF523F">
              <w:rPr>
                <w:rFonts w:cs="Arial"/>
                <w:sz w:val="16"/>
                <w:szCs w:val="16"/>
              </w:rPr>
              <w:t>systems</w:t>
            </w:r>
          </w:p>
        </w:tc>
        <w:tc>
          <w:tcPr>
            <w:tcW w:w="992" w:type="dxa"/>
            <w:textDirection w:val="btLr"/>
          </w:tcPr>
          <w:p w:rsidR="007820DD" w:rsidP="007820DD" w:rsidRDefault="2F66C1FA" w14:paraId="341E0253" w14:textId="77777777">
            <w:pPr>
              <w:keepNext/>
              <w:keepLines/>
              <w:rPr>
                <w:rFonts w:cs="Arial"/>
                <w:sz w:val="20"/>
                <w:szCs w:val="20"/>
              </w:rPr>
            </w:pPr>
            <w:r w:rsidRPr="2F66C1FA">
              <w:rPr>
                <w:rFonts w:cs="Arial"/>
                <w:sz w:val="20"/>
                <w:szCs w:val="20"/>
              </w:rPr>
              <w:t>PY6xxx</w:t>
            </w:r>
          </w:p>
          <w:p w:rsidRPr="00DF523F" w:rsidR="00DF523F" w:rsidP="007820DD" w:rsidRDefault="00DF523F" w14:paraId="7DFC346E" w14:textId="2864F1A8">
            <w:pPr>
              <w:keepNext/>
              <w:keepLines/>
              <w:rPr>
                <w:rFonts w:cs="Arial"/>
                <w:sz w:val="16"/>
                <w:szCs w:val="16"/>
              </w:rPr>
            </w:pPr>
            <w:r w:rsidRPr="00DF523F">
              <w:rPr>
                <w:rFonts w:cs="Arial"/>
                <w:sz w:val="16"/>
                <w:szCs w:val="16"/>
              </w:rPr>
              <w:t>Research project</w:t>
            </w:r>
          </w:p>
        </w:tc>
      </w:tr>
      <w:tr w:rsidRPr="000765B1" w:rsidR="007820DD" w:rsidTr="00DF523F" w14:paraId="6C9A3A22" w14:textId="77777777">
        <w:trPr>
          <w:trHeight w:val="269"/>
        </w:trPr>
        <w:tc>
          <w:tcPr>
            <w:tcW w:w="2147" w:type="dxa"/>
          </w:tcPr>
          <w:p w:rsidRPr="000765B1" w:rsidR="007820DD" w:rsidP="007820DD" w:rsidRDefault="007820DD" w14:paraId="7704BC58" w14:textId="77777777">
            <w:pPr>
              <w:keepNext/>
              <w:keepLines/>
              <w:rPr>
                <w:rFonts w:cs="Arial"/>
                <w:b/>
                <w:sz w:val="20"/>
                <w:szCs w:val="20"/>
              </w:rPr>
            </w:pPr>
            <w:r w:rsidRPr="000765B1">
              <w:rPr>
                <w:rFonts w:cs="Arial"/>
                <w:b/>
                <w:sz w:val="20"/>
                <w:szCs w:val="20"/>
              </w:rPr>
              <w:t xml:space="preserve">Knowledge &amp; </w:t>
            </w:r>
            <w:proofErr w:type="gramStart"/>
            <w:r w:rsidRPr="000765B1">
              <w:rPr>
                <w:rFonts w:cs="Arial"/>
                <w:b/>
                <w:sz w:val="20"/>
                <w:szCs w:val="20"/>
              </w:rPr>
              <w:t>Understanding</w:t>
            </w:r>
            <w:proofErr w:type="gramEnd"/>
          </w:p>
        </w:tc>
        <w:tc>
          <w:tcPr>
            <w:tcW w:w="1178" w:type="dxa"/>
            <w:vAlign w:val="center"/>
          </w:tcPr>
          <w:p w:rsidRPr="000765B1" w:rsidR="007820DD" w:rsidP="007820DD" w:rsidRDefault="007820DD" w14:paraId="0BBA64A6" w14:textId="77777777">
            <w:pPr>
              <w:keepNext/>
              <w:keepLines/>
              <w:jc w:val="center"/>
              <w:rPr>
                <w:rFonts w:cs="Arial"/>
                <w:sz w:val="20"/>
                <w:szCs w:val="20"/>
              </w:rPr>
            </w:pPr>
            <w:r w:rsidRPr="000765B1">
              <w:rPr>
                <w:rFonts w:cs="Arial"/>
                <w:sz w:val="20"/>
                <w:szCs w:val="20"/>
              </w:rPr>
              <w:t>A1</w:t>
            </w:r>
          </w:p>
        </w:tc>
        <w:tc>
          <w:tcPr>
            <w:tcW w:w="923" w:type="dxa"/>
            <w:vAlign w:val="center"/>
          </w:tcPr>
          <w:p w:rsidRPr="000765B1" w:rsidR="007820DD" w:rsidP="007820DD" w:rsidRDefault="007820DD" w14:paraId="383BDB7A" w14:textId="3EAF6CF5">
            <w:pPr>
              <w:keepNext/>
              <w:keepLines/>
              <w:jc w:val="center"/>
              <w:rPr>
                <w:rFonts w:cs="Arial"/>
                <w:sz w:val="20"/>
                <w:szCs w:val="20"/>
              </w:rPr>
            </w:pPr>
          </w:p>
        </w:tc>
        <w:tc>
          <w:tcPr>
            <w:tcW w:w="845" w:type="dxa"/>
            <w:vAlign w:val="center"/>
          </w:tcPr>
          <w:p w:rsidRPr="000765B1" w:rsidR="007820DD" w:rsidP="007820DD" w:rsidRDefault="007820DD" w14:paraId="6B5FADC9" w14:textId="7DFFE83B">
            <w:pPr>
              <w:keepNext/>
              <w:keepLines/>
              <w:jc w:val="center"/>
              <w:rPr>
                <w:rFonts w:cs="Arial"/>
                <w:sz w:val="20"/>
                <w:szCs w:val="20"/>
              </w:rPr>
            </w:pPr>
            <w:r>
              <w:rPr>
                <w:rFonts w:cs="Arial"/>
                <w:sz w:val="20"/>
                <w:szCs w:val="20"/>
              </w:rPr>
              <w:t>S</w:t>
            </w:r>
          </w:p>
        </w:tc>
        <w:tc>
          <w:tcPr>
            <w:tcW w:w="998" w:type="dxa"/>
            <w:vAlign w:val="center"/>
          </w:tcPr>
          <w:p w:rsidRPr="000765B1" w:rsidR="007820DD" w:rsidP="007820DD" w:rsidRDefault="007820DD" w14:paraId="509AE963" w14:textId="045042EC">
            <w:pPr>
              <w:keepNext/>
              <w:keepLines/>
              <w:jc w:val="center"/>
              <w:rPr>
                <w:rFonts w:cs="Arial"/>
                <w:sz w:val="20"/>
                <w:szCs w:val="20"/>
              </w:rPr>
            </w:pPr>
            <w:r>
              <w:rPr>
                <w:rFonts w:cs="Arial"/>
                <w:sz w:val="20"/>
                <w:szCs w:val="20"/>
              </w:rPr>
              <w:t>S</w:t>
            </w:r>
          </w:p>
        </w:tc>
        <w:tc>
          <w:tcPr>
            <w:tcW w:w="992" w:type="dxa"/>
            <w:vAlign w:val="center"/>
          </w:tcPr>
          <w:p w:rsidRPr="000765B1" w:rsidR="007820DD" w:rsidP="007820DD" w:rsidRDefault="007820DD" w14:paraId="61F84E0F" w14:textId="1623F7E2">
            <w:pPr>
              <w:keepNext/>
              <w:keepLines/>
              <w:jc w:val="center"/>
              <w:rPr>
                <w:rFonts w:cs="Arial"/>
                <w:sz w:val="20"/>
                <w:szCs w:val="20"/>
              </w:rPr>
            </w:pPr>
            <w:r>
              <w:rPr>
                <w:rFonts w:cs="Arial"/>
                <w:sz w:val="20"/>
                <w:szCs w:val="20"/>
              </w:rPr>
              <w:t>S</w:t>
            </w:r>
          </w:p>
        </w:tc>
      </w:tr>
      <w:tr w:rsidRPr="000765B1" w:rsidR="007820DD" w:rsidTr="00DF523F" w14:paraId="3E60D47F" w14:textId="77777777">
        <w:trPr>
          <w:trHeight w:val="232"/>
        </w:trPr>
        <w:tc>
          <w:tcPr>
            <w:tcW w:w="2147" w:type="dxa"/>
          </w:tcPr>
          <w:p w:rsidRPr="000765B1" w:rsidR="007820DD" w:rsidP="007820DD" w:rsidRDefault="007820DD" w14:paraId="73B52276" w14:textId="77777777">
            <w:pPr>
              <w:keepNext/>
              <w:keepLines/>
              <w:rPr>
                <w:rFonts w:cs="Arial"/>
                <w:b/>
                <w:sz w:val="20"/>
                <w:szCs w:val="20"/>
              </w:rPr>
            </w:pPr>
          </w:p>
        </w:tc>
        <w:tc>
          <w:tcPr>
            <w:tcW w:w="1178" w:type="dxa"/>
            <w:vAlign w:val="center"/>
          </w:tcPr>
          <w:p w:rsidRPr="000765B1" w:rsidR="007820DD" w:rsidP="007820DD" w:rsidRDefault="007820DD" w14:paraId="06F8003B" w14:textId="77777777">
            <w:pPr>
              <w:keepNext/>
              <w:keepLines/>
              <w:jc w:val="center"/>
              <w:rPr>
                <w:rFonts w:cs="Arial"/>
                <w:sz w:val="20"/>
                <w:szCs w:val="20"/>
              </w:rPr>
            </w:pPr>
            <w:r w:rsidRPr="000765B1">
              <w:rPr>
                <w:rFonts w:cs="Arial"/>
                <w:sz w:val="20"/>
                <w:szCs w:val="20"/>
              </w:rPr>
              <w:t>A2</w:t>
            </w:r>
          </w:p>
        </w:tc>
        <w:tc>
          <w:tcPr>
            <w:tcW w:w="923" w:type="dxa"/>
            <w:vAlign w:val="center"/>
          </w:tcPr>
          <w:p w:rsidRPr="000765B1" w:rsidR="007820DD" w:rsidP="007820DD" w:rsidRDefault="007820DD" w14:paraId="2F83D6D9" w14:textId="7CE949A7">
            <w:pPr>
              <w:keepNext/>
              <w:keepLines/>
              <w:jc w:val="center"/>
              <w:rPr>
                <w:rFonts w:cs="Arial"/>
                <w:sz w:val="20"/>
                <w:szCs w:val="20"/>
              </w:rPr>
            </w:pPr>
            <w:r>
              <w:rPr>
                <w:rFonts w:cs="Arial"/>
                <w:sz w:val="20"/>
                <w:szCs w:val="20"/>
              </w:rPr>
              <w:t>S</w:t>
            </w:r>
          </w:p>
        </w:tc>
        <w:tc>
          <w:tcPr>
            <w:tcW w:w="845" w:type="dxa"/>
            <w:vAlign w:val="center"/>
          </w:tcPr>
          <w:p w:rsidRPr="000765B1" w:rsidR="007820DD" w:rsidP="007820DD" w:rsidRDefault="007820DD" w14:paraId="6FD61015" w14:textId="1CBB807C">
            <w:pPr>
              <w:keepNext/>
              <w:keepLines/>
              <w:jc w:val="center"/>
              <w:rPr>
                <w:rFonts w:cs="Arial"/>
                <w:sz w:val="20"/>
                <w:szCs w:val="20"/>
              </w:rPr>
            </w:pPr>
          </w:p>
        </w:tc>
        <w:tc>
          <w:tcPr>
            <w:tcW w:w="998" w:type="dxa"/>
            <w:vAlign w:val="center"/>
          </w:tcPr>
          <w:p w:rsidRPr="000765B1" w:rsidR="007820DD" w:rsidP="007820DD" w:rsidRDefault="007820DD" w14:paraId="0233D9E3" w14:textId="6FAABC6C">
            <w:pPr>
              <w:keepNext/>
              <w:keepLines/>
              <w:jc w:val="center"/>
              <w:rPr>
                <w:rFonts w:cs="Arial"/>
                <w:sz w:val="20"/>
                <w:szCs w:val="20"/>
              </w:rPr>
            </w:pPr>
          </w:p>
        </w:tc>
        <w:tc>
          <w:tcPr>
            <w:tcW w:w="992" w:type="dxa"/>
            <w:vAlign w:val="center"/>
          </w:tcPr>
          <w:p w:rsidRPr="000765B1" w:rsidR="007820DD" w:rsidP="007820DD" w:rsidRDefault="007820DD" w14:paraId="1A3A8E71" w14:textId="03AD508E">
            <w:pPr>
              <w:keepNext/>
              <w:keepLines/>
              <w:jc w:val="center"/>
              <w:rPr>
                <w:rFonts w:cs="Arial"/>
                <w:sz w:val="20"/>
                <w:szCs w:val="20"/>
              </w:rPr>
            </w:pPr>
          </w:p>
        </w:tc>
      </w:tr>
      <w:tr w:rsidRPr="000765B1" w:rsidR="007820DD" w:rsidTr="00DF523F" w14:paraId="722DD44E" w14:textId="77777777">
        <w:trPr>
          <w:trHeight w:val="232"/>
        </w:trPr>
        <w:tc>
          <w:tcPr>
            <w:tcW w:w="2147" w:type="dxa"/>
          </w:tcPr>
          <w:p w:rsidRPr="000765B1" w:rsidR="007820DD" w:rsidP="007820DD" w:rsidRDefault="007820DD" w14:paraId="23C4E527" w14:textId="77777777">
            <w:pPr>
              <w:keepNext/>
              <w:keepLines/>
              <w:rPr>
                <w:rFonts w:cs="Arial"/>
                <w:b/>
                <w:sz w:val="20"/>
                <w:szCs w:val="20"/>
              </w:rPr>
            </w:pPr>
          </w:p>
        </w:tc>
        <w:tc>
          <w:tcPr>
            <w:tcW w:w="1178" w:type="dxa"/>
            <w:vAlign w:val="center"/>
          </w:tcPr>
          <w:p w:rsidRPr="000765B1" w:rsidR="007820DD" w:rsidP="007820DD" w:rsidRDefault="007820DD" w14:paraId="5397DAEA" w14:textId="77777777">
            <w:pPr>
              <w:keepNext/>
              <w:keepLines/>
              <w:jc w:val="center"/>
              <w:rPr>
                <w:rFonts w:cs="Arial"/>
                <w:sz w:val="20"/>
                <w:szCs w:val="20"/>
              </w:rPr>
            </w:pPr>
            <w:r w:rsidRPr="000765B1">
              <w:rPr>
                <w:rFonts w:cs="Arial"/>
                <w:sz w:val="20"/>
                <w:szCs w:val="20"/>
              </w:rPr>
              <w:t>A3</w:t>
            </w:r>
          </w:p>
        </w:tc>
        <w:tc>
          <w:tcPr>
            <w:tcW w:w="923" w:type="dxa"/>
            <w:vAlign w:val="center"/>
          </w:tcPr>
          <w:p w:rsidRPr="000765B1" w:rsidR="007820DD" w:rsidP="007820DD" w:rsidRDefault="007820DD" w14:paraId="088DF0AE" w14:textId="25C56B7D">
            <w:pPr>
              <w:keepNext/>
              <w:keepLines/>
              <w:jc w:val="center"/>
              <w:rPr>
                <w:rFonts w:cs="Arial"/>
                <w:sz w:val="20"/>
                <w:szCs w:val="20"/>
              </w:rPr>
            </w:pPr>
          </w:p>
        </w:tc>
        <w:tc>
          <w:tcPr>
            <w:tcW w:w="845" w:type="dxa"/>
            <w:vAlign w:val="center"/>
          </w:tcPr>
          <w:p w:rsidRPr="000765B1" w:rsidR="007820DD" w:rsidP="007820DD" w:rsidRDefault="007820DD" w14:paraId="485702E6" w14:textId="6C2F540B">
            <w:pPr>
              <w:keepNext/>
              <w:keepLines/>
              <w:jc w:val="center"/>
              <w:rPr>
                <w:rFonts w:cs="Arial"/>
                <w:sz w:val="20"/>
                <w:szCs w:val="20"/>
              </w:rPr>
            </w:pPr>
          </w:p>
        </w:tc>
        <w:tc>
          <w:tcPr>
            <w:tcW w:w="998" w:type="dxa"/>
            <w:vAlign w:val="center"/>
          </w:tcPr>
          <w:p w:rsidRPr="000765B1" w:rsidR="007820DD" w:rsidP="007820DD" w:rsidRDefault="007820DD" w14:paraId="4D171A87" w14:textId="20E0FA07">
            <w:pPr>
              <w:keepNext/>
              <w:keepLines/>
              <w:jc w:val="center"/>
              <w:rPr>
                <w:rFonts w:cs="Arial"/>
                <w:sz w:val="20"/>
                <w:szCs w:val="20"/>
              </w:rPr>
            </w:pPr>
            <w:r>
              <w:rPr>
                <w:rFonts w:cs="Arial"/>
                <w:sz w:val="20"/>
                <w:szCs w:val="20"/>
              </w:rPr>
              <w:t>S</w:t>
            </w:r>
          </w:p>
        </w:tc>
        <w:tc>
          <w:tcPr>
            <w:tcW w:w="992" w:type="dxa"/>
            <w:vAlign w:val="center"/>
          </w:tcPr>
          <w:p w:rsidRPr="000765B1" w:rsidR="007820DD" w:rsidP="007820DD" w:rsidRDefault="007820DD" w14:paraId="0A61993E" w14:textId="71E4A8DE">
            <w:pPr>
              <w:keepNext/>
              <w:keepLines/>
              <w:jc w:val="center"/>
              <w:rPr>
                <w:rFonts w:cs="Arial"/>
                <w:sz w:val="20"/>
                <w:szCs w:val="20"/>
              </w:rPr>
            </w:pPr>
            <w:r>
              <w:rPr>
                <w:rFonts w:cs="Arial"/>
                <w:sz w:val="20"/>
                <w:szCs w:val="20"/>
              </w:rPr>
              <w:t>S</w:t>
            </w:r>
          </w:p>
        </w:tc>
      </w:tr>
      <w:tr w:rsidRPr="000765B1" w:rsidR="007820DD" w:rsidTr="00DF523F" w14:paraId="2AF017E2" w14:textId="77777777">
        <w:trPr>
          <w:trHeight w:val="232"/>
        </w:trPr>
        <w:tc>
          <w:tcPr>
            <w:tcW w:w="2147" w:type="dxa"/>
          </w:tcPr>
          <w:p w:rsidRPr="000765B1" w:rsidR="007820DD" w:rsidP="007820DD" w:rsidRDefault="007820DD" w14:paraId="6336BA28" w14:textId="77777777">
            <w:pPr>
              <w:keepNext/>
              <w:keepLines/>
              <w:rPr>
                <w:rFonts w:cs="Arial"/>
                <w:b/>
                <w:sz w:val="20"/>
                <w:szCs w:val="20"/>
              </w:rPr>
            </w:pPr>
          </w:p>
        </w:tc>
        <w:tc>
          <w:tcPr>
            <w:tcW w:w="1178" w:type="dxa"/>
            <w:vAlign w:val="center"/>
          </w:tcPr>
          <w:p w:rsidRPr="000765B1" w:rsidR="007820DD" w:rsidP="007820DD" w:rsidRDefault="007820DD" w14:paraId="45907A41" w14:textId="77777777">
            <w:pPr>
              <w:keepNext/>
              <w:keepLines/>
              <w:jc w:val="center"/>
              <w:rPr>
                <w:rFonts w:cs="Arial"/>
                <w:sz w:val="20"/>
                <w:szCs w:val="20"/>
              </w:rPr>
            </w:pPr>
            <w:r w:rsidRPr="000765B1">
              <w:rPr>
                <w:rFonts w:cs="Arial"/>
                <w:sz w:val="20"/>
                <w:szCs w:val="20"/>
              </w:rPr>
              <w:t>A4</w:t>
            </w:r>
          </w:p>
        </w:tc>
        <w:tc>
          <w:tcPr>
            <w:tcW w:w="923" w:type="dxa"/>
            <w:vAlign w:val="center"/>
          </w:tcPr>
          <w:p w:rsidRPr="000765B1" w:rsidR="007820DD" w:rsidP="007820DD" w:rsidRDefault="007820DD" w14:paraId="172501DA" w14:textId="21B96929">
            <w:pPr>
              <w:keepNext/>
              <w:keepLines/>
              <w:jc w:val="center"/>
              <w:rPr>
                <w:rFonts w:cs="Arial"/>
                <w:sz w:val="20"/>
                <w:szCs w:val="20"/>
              </w:rPr>
            </w:pPr>
            <w:r>
              <w:rPr>
                <w:rFonts w:cs="Arial"/>
                <w:sz w:val="20"/>
                <w:szCs w:val="20"/>
              </w:rPr>
              <w:t>S</w:t>
            </w:r>
          </w:p>
        </w:tc>
        <w:tc>
          <w:tcPr>
            <w:tcW w:w="845" w:type="dxa"/>
            <w:vAlign w:val="center"/>
          </w:tcPr>
          <w:p w:rsidRPr="000765B1" w:rsidR="007820DD" w:rsidP="007820DD" w:rsidRDefault="007820DD" w14:paraId="01C4CE1C" w14:textId="6104200F">
            <w:pPr>
              <w:keepNext/>
              <w:keepLines/>
              <w:jc w:val="center"/>
              <w:rPr>
                <w:rFonts w:cs="Arial"/>
                <w:sz w:val="20"/>
                <w:szCs w:val="20"/>
              </w:rPr>
            </w:pPr>
            <w:r>
              <w:rPr>
                <w:rFonts w:cs="Arial"/>
                <w:sz w:val="20"/>
                <w:szCs w:val="20"/>
              </w:rPr>
              <w:t>S</w:t>
            </w:r>
          </w:p>
        </w:tc>
        <w:tc>
          <w:tcPr>
            <w:tcW w:w="998" w:type="dxa"/>
            <w:vAlign w:val="center"/>
          </w:tcPr>
          <w:p w:rsidRPr="000765B1" w:rsidR="007820DD" w:rsidP="007820DD" w:rsidRDefault="007820DD" w14:paraId="7623A757" w14:textId="764EDB4D">
            <w:pPr>
              <w:keepNext/>
              <w:keepLines/>
              <w:jc w:val="center"/>
              <w:rPr>
                <w:rFonts w:cs="Arial"/>
                <w:sz w:val="20"/>
                <w:szCs w:val="20"/>
              </w:rPr>
            </w:pPr>
            <w:r>
              <w:rPr>
                <w:rFonts w:cs="Arial"/>
                <w:sz w:val="20"/>
                <w:szCs w:val="20"/>
              </w:rPr>
              <w:t>S</w:t>
            </w:r>
          </w:p>
        </w:tc>
        <w:tc>
          <w:tcPr>
            <w:tcW w:w="992" w:type="dxa"/>
            <w:vAlign w:val="center"/>
          </w:tcPr>
          <w:p w:rsidRPr="000765B1" w:rsidR="007820DD" w:rsidP="007820DD" w:rsidRDefault="007820DD" w14:paraId="50D7A407" w14:textId="4A4022D7">
            <w:pPr>
              <w:keepNext/>
              <w:keepLines/>
              <w:jc w:val="center"/>
              <w:rPr>
                <w:rFonts w:cs="Arial"/>
                <w:sz w:val="20"/>
                <w:szCs w:val="20"/>
              </w:rPr>
            </w:pPr>
            <w:r>
              <w:rPr>
                <w:rFonts w:cs="Arial"/>
                <w:sz w:val="20"/>
                <w:szCs w:val="20"/>
              </w:rPr>
              <w:t>S</w:t>
            </w:r>
          </w:p>
        </w:tc>
      </w:tr>
      <w:tr w:rsidRPr="000765B1" w:rsidR="007820DD" w:rsidTr="00DF523F" w14:paraId="0F1ED82B" w14:textId="77777777">
        <w:trPr>
          <w:trHeight w:val="478"/>
        </w:trPr>
        <w:tc>
          <w:tcPr>
            <w:tcW w:w="2147" w:type="dxa"/>
          </w:tcPr>
          <w:p w:rsidRPr="000765B1" w:rsidR="007820DD" w:rsidP="007820DD" w:rsidRDefault="007820DD" w14:paraId="57D0FA37" w14:textId="77777777">
            <w:pPr>
              <w:keepNext/>
              <w:keepLines/>
              <w:rPr>
                <w:rFonts w:cs="Arial"/>
                <w:b/>
                <w:sz w:val="20"/>
                <w:szCs w:val="20"/>
              </w:rPr>
            </w:pPr>
            <w:r w:rsidRPr="000765B1">
              <w:rPr>
                <w:rFonts w:cs="Arial"/>
                <w:b/>
                <w:sz w:val="20"/>
                <w:szCs w:val="20"/>
              </w:rPr>
              <w:t>Intellectual Skills</w:t>
            </w:r>
          </w:p>
        </w:tc>
        <w:tc>
          <w:tcPr>
            <w:tcW w:w="1178" w:type="dxa"/>
            <w:vAlign w:val="center"/>
          </w:tcPr>
          <w:p w:rsidRPr="000765B1" w:rsidR="007820DD" w:rsidP="007820DD" w:rsidRDefault="007820DD" w14:paraId="071BE3E7" w14:textId="77777777">
            <w:pPr>
              <w:keepNext/>
              <w:keepLines/>
              <w:jc w:val="center"/>
              <w:rPr>
                <w:rFonts w:cs="Arial"/>
                <w:sz w:val="20"/>
                <w:szCs w:val="20"/>
              </w:rPr>
            </w:pPr>
            <w:r w:rsidRPr="000765B1">
              <w:rPr>
                <w:rFonts w:cs="Arial"/>
                <w:sz w:val="20"/>
                <w:szCs w:val="20"/>
              </w:rPr>
              <w:t>B1</w:t>
            </w:r>
          </w:p>
        </w:tc>
        <w:tc>
          <w:tcPr>
            <w:tcW w:w="923" w:type="dxa"/>
            <w:vAlign w:val="center"/>
          </w:tcPr>
          <w:p w:rsidRPr="000765B1" w:rsidR="007820DD" w:rsidP="007820DD" w:rsidRDefault="007820DD" w14:paraId="579266EF" w14:textId="19857457">
            <w:pPr>
              <w:keepNext/>
              <w:keepLines/>
              <w:jc w:val="center"/>
              <w:rPr>
                <w:rFonts w:cs="Arial"/>
                <w:sz w:val="20"/>
                <w:szCs w:val="20"/>
              </w:rPr>
            </w:pPr>
            <w:r>
              <w:rPr>
                <w:rFonts w:cs="Arial"/>
                <w:sz w:val="20"/>
                <w:szCs w:val="20"/>
              </w:rPr>
              <w:t>S</w:t>
            </w:r>
          </w:p>
        </w:tc>
        <w:tc>
          <w:tcPr>
            <w:tcW w:w="845" w:type="dxa"/>
            <w:vAlign w:val="center"/>
          </w:tcPr>
          <w:p w:rsidRPr="000765B1" w:rsidR="007820DD" w:rsidP="007820DD" w:rsidRDefault="007820DD" w14:paraId="2683C7BA" w14:textId="20054550">
            <w:pPr>
              <w:keepNext/>
              <w:keepLines/>
              <w:jc w:val="center"/>
              <w:rPr>
                <w:rFonts w:cs="Arial"/>
                <w:sz w:val="20"/>
                <w:szCs w:val="20"/>
              </w:rPr>
            </w:pPr>
            <w:r>
              <w:rPr>
                <w:rFonts w:cs="Arial"/>
                <w:sz w:val="20"/>
                <w:szCs w:val="20"/>
              </w:rPr>
              <w:t>S</w:t>
            </w:r>
          </w:p>
        </w:tc>
        <w:tc>
          <w:tcPr>
            <w:tcW w:w="998" w:type="dxa"/>
            <w:vAlign w:val="center"/>
          </w:tcPr>
          <w:p w:rsidRPr="000765B1" w:rsidR="007820DD" w:rsidP="007820DD" w:rsidRDefault="007820DD" w14:paraId="2891E970" w14:textId="2FCCE61A">
            <w:pPr>
              <w:keepNext/>
              <w:keepLines/>
              <w:jc w:val="center"/>
              <w:rPr>
                <w:rFonts w:cs="Arial"/>
                <w:sz w:val="20"/>
                <w:szCs w:val="20"/>
              </w:rPr>
            </w:pPr>
            <w:r>
              <w:rPr>
                <w:rFonts w:cs="Arial"/>
                <w:sz w:val="20"/>
                <w:szCs w:val="20"/>
              </w:rPr>
              <w:t>S</w:t>
            </w:r>
          </w:p>
        </w:tc>
        <w:tc>
          <w:tcPr>
            <w:tcW w:w="992" w:type="dxa"/>
            <w:vAlign w:val="center"/>
          </w:tcPr>
          <w:p w:rsidRPr="000765B1" w:rsidR="007820DD" w:rsidP="007820DD" w:rsidRDefault="007820DD" w14:paraId="00B53061" w14:textId="62A44BA2">
            <w:pPr>
              <w:keepNext/>
              <w:keepLines/>
              <w:jc w:val="center"/>
              <w:rPr>
                <w:rFonts w:cs="Arial"/>
                <w:sz w:val="20"/>
                <w:szCs w:val="20"/>
              </w:rPr>
            </w:pPr>
            <w:r>
              <w:rPr>
                <w:rFonts w:cs="Arial"/>
                <w:sz w:val="20"/>
                <w:szCs w:val="20"/>
              </w:rPr>
              <w:t>S</w:t>
            </w:r>
          </w:p>
        </w:tc>
      </w:tr>
      <w:tr w:rsidRPr="000765B1" w:rsidR="007820DD" w:rsidTr="00DF523F" w14:paraId="7D219F33" w14:textId="77777777">
        <w:trPr>
          <w:trHeight w:val="232"/>
        </w:trPr>
        <w:tc>
          <w:tcPr>
            <w:tcW w:w="2147" w:type="dxa"/>
          </w:tcPr>
          <w:p w:rsidRPr="000765B1" w:rsidR="007820DD" w:rsidP="007820DD" w:rsidRDefault="007820DD" w14:paraId="2D57B3BB" w14:textId="77777777">
            <w:pPr>
              <w:keepNext/>
              <w:keepLines/>
              <w:rPr>
                <w:rFonts w:cs="Arial"/>
                <w:b/>
                <w:sz w:val="20"/>
                <w:szCs w:val="20"/>
              </w:rPr>
            </w:pPr>
          </w:p>
        </w:tc>
        <w:tc>
          <w:tcPr>
            <w:tcW w:w="1178" w:type="dxa"/>
            <w:vAlign w:val="center"/>
          </w:tcPr>
          <w:p w:rsidRPr="000765B1" w:rsidR="007820DD" w:rsidP="007820DD" w:rsidRDefault="007820DD" w14:paraId="1896C9B4" w14:textId="77777777">
            <w:pPr>
              <w:keepNext/>
              <w:keepLines/>
              <w:jc w:val="center"/>
              <w:rPr>
                <w:rFonts w:cs="Arial"/>
                <w:sz w:val="20"/>
                <w:szCs w:val="20"/>
              </w:rPr>
            </w:pPr>
            <w:r w:rsidRPr="000765B1">
              <w:rPr>
                <w:rFonts w:cs="Arial"/>
                <w:sz w:val="20"/>
                <w:szCs w:val="20"/>
              </w:rPr>
              <w:t>B2</w:t>
            </w:r>
          </w:p>
        </w:tc>
        <w:tc>
          <w:tcPr>
            <w:tcW w:w="923" w:type="dxa"/>
            <w:vAlign w:val="center"/>
          </w:tcPr>
          <w:p w:rsidRPr="000765B1" w:rsidR="007820DD" w:rsidP="007820DD" w:rsidRDefault="007820DD" w14:paraId="482DADF5" w14:textId="53F67E09">
            <w:pPr>
              <w:keepNext/>
              <w:keepLines/>
              <w:jc w:val="center"/>
              <w:rPr>
                <w:rFonts w:cs="Arial"/>
                <w:sz w:val="20"/>
                <w:szCs w:val="20"/>
              </w:rPr>
            </w:pPr>
            <w:r>
              <w:rPr>
                <w:rFonts w:cs="Arial"/>
                <w:sz w:val="20"/>
                <w:szCs w:val="20"/>
              </w:rPr>
              <w:t>S</w:t>
            </w:r>
          </w:p>
        </w:tc>
        <w:tc>
          <w:tcPr>
            <w:tcW w:w="845" w:type="dxa"/>
            <w:vAlign w:val="center"/>
          </w:tcPr>
          <w:p w:rsidRPr="000765B1" w:rsidR="007820DD" w:rsidP="007820DD" w:rsidRDefault="007820DD" w14:paraId="1B776ABF" w14:textId="324E0699">
            <w:pPr>
              <w:keepNext/>
              <w:keepLines/>
              <w:jc w:val="center"/>
              <w:rPr>
                <w:rFonts w:cs="Arial"/>
                <w:sz w:val="20"/>
                <w:szCs w:val="20"/>
              </w:rPr>
            </w:pPr>
          </w:p>
        </w:tc>
        <w:tc>
          <w:tcPr>
            <w:tcW w:w="998" w:type="dxa"/>
            <w:vAlign w:val="center"/>
          </w:tcPr>
          <w:p w:rsidRPr="000765B1" w:rsidR="007820DD" w:rsidP="007820DD" w:rsidRDefault="007820DD" w14:paraId="4F46D397" w14:textId="575D442D">
            <w:pPr>
              <w:keepNext/>
              <w:keepLines/>
              <w:jc w:val="center"/>
              <w:rPr>
                <w:rFonts w:cs="Arial"/>
                <w:sz w:val="20"/>
                <w:szCs w:val="20"/>
              </w:rPr>
            </w:pPr>
            <w:r>
              <w:rPr>
                <w:rFonts w:cs="Arial"/>
                <w:sz w:val="20"/>
                <w:szCs w:val="20"/>
              </w:rPr>
              <w:t>S</w:t>
            </w:r>
          </w:p>
        </w:tc>
        <w:tc>
          <w:tcPr>
            <w:tcW w:w="992" w:type="dxa"/>
            <w:vAlign w:val="center"/>
          </w:tcPr>
          <w:p w:rsidRPr="000765B1" w:rsidR="007820DD" w:rsidP="007820DD" w:rsidRDefault="007820DD" w14:paraId="6B301627" w14:textId="765FE190">
            <w:pPr>
              <w:keepNext/>
              <w:keepLines/>
              <w:jc w:val="center"/>
              <w:rPr>
                <w:rFonts w:cs="Arial"/>
                <w:sz w:val="20"/>
                <w:szCs w:val="20"/>
              </w:rPr>
            </w:pPr>
            <w:r>
              <w:rPr>
                <w:rFonts w:cs="Arial"/>
                <w:sz w:val="20"/>
                <w:szCs w:val="20"/>
              </w:rPr>
              <w:t>S</w:t>
            </w:r>
          </w:p>
        </w:tc>
      </w:tr>
      <w:tr w:rsidRPr="000765B1" w:rsidR="007820DD" w:rsidTr="00DF523F" w14:paraId="172E35BC" w14:textId="77777777">
        <w:trPr>
          <w:trHeight w:val="232"/>
        </w:trPr>
        <w:tc>
          <w:tcPr>
            <w:tcW w:w="2147" w:type="dxa"/>
          </w:tcPr>
          <w:p w:rsidRPr="000765B1" w:rsidR="007820DD" w:rsidP="007820DD" w:rsidRDefault="007820DD" w14:paraId="0DE55AD8" w14:textId="77777777">
            <w:pPr>
              <w:keepNext/>
              <w:keepLines/>
              <w:rPr>
                <w:rFonts w:cs="Arial"/>
                <w:b/>
                <w:sz w:val="20"/>
                <w:szCs w:val="20"/>
              </w:rPr>
            </w:pPr>
          </w:p>
        </w:tc>
        <w:tc>
          <w:tcPr>
            <w:tcW w:w="1178" w:type="dxa"/>
            <w:vAlign w:val="center"/>
          </w:tcPr>
          <w:p w:rsidRPr="000765B1" w:rsidR="007820DD" w:rsidP="007820DD" w:rsidRDefault="007820DD" w14:paraId="32DAD8ED" w14:textId="77777777">
            <w:pPr>
              <w:keepNext/>
              <w:keepLines/>
              <w:jc w:val="center"/>
              <w:rPr>
                <w:rFonts w:cs="Arial"/>
                <w:sz w:val="20"/>
                <w:szCs w:val="20"/>
              </w:rPr>
            </w:pPr>
            <w:r w:rsidRPr="000765B1">
              <w:rPr>
                <w:rFonts w:cs="Arial"/>
                <w:sz w:val="20"/>
                <w:szCs w:val="20"/>
              </w:rPr>
              <w:t>B3</w:t>
            </w:r>
          </w:p>
        </w:tc>
        <w:tc>
          <w:tcPr>
            <w:tcW w:w="923" w:type="dxa"/>
            <w:vAlign w:val="center"/>
          </w:tcPr>
          <w:p w:rsidRPr="000765B1" w:rsidR="007820DD" w:rsidP="007820DD" w:rsidRDefault="007820DD" w14:paraId="629556F4" w14:textId="75B198F9">
            <w:pPr>
              <w:keepNext/>
              <w:keepLines/>
              <w:jc w:val="center"/>
              <w:rPr>
                <w:rFonts w:cs="Arial"/>
                <w:sz w:val="20"/>
                <w:szCs w:val="20"/>
              </w:rPr>
            </w:pPr>
            <w:r>
              <w:rPr>
                <w:rFonts w:cs="Arial"/>
                <w:sz w:val="20"/>
                <w:szCs w:val="20"/>
              </w:rPr>
              <w:t>S</w:t>
            </w:r>
          </w:p>
        </w:tc>
        <w:tc>
          <w:tcPr>
            <w:tcW w:w="845" w:type="dxa"/>
            <w:vAlign w:val="center"/>
          </w:tcPr>
          <w:p w:rsidRPr="000765B1" w:rsidR="007820DD" w:rsidP="007820DD" w:rsidRDefault="007820DD" w14:paraId="1635B8D1" w14:textId="226FC43C">
            <w:pPr>
              <w:keepNext/>
              <w:keepLines/>
              <w:jc w:val="center"/>
              <w:rPr>
                <w:rFonts w:cs="Arial"/>
                <w:sz w:val="20"/>
                <w:szCs w:val="20"/>
              </w:rPr>
            </w:pPr>
            <w:r>
              <w:rPr>
                <w:rFonts w:cs="Arial"/>
                <w:sz w:val="20"/>
                <w:szCs w:val="20"/>
              </w:rPr>
              <w:t>S</w:t>
            </w:r>
          </w:p>
        </w:tc>
        <w:tc>
          <w:tcPr>
            <w:tcW w:w="998" w:type="dxa"/>
            <w:vAlign w:val="center"/>
          </w:tcPr>
          <w:p w:rsidRPr="000765B1" w:rsidR="007820DD" w:rsidP="007820DD" w:rsidRDefault="007820DD" w14:paraId="25FFEC2A" w14:textId="0BD140DA">
            <w:pPr>
              <w:keepNext/>
              <w:keepLines/>
              <w:jc w:val="center"/>
              <w:rPr>
                <w:rFonts w:cs="Arial"/>
                <w:sz w:val="20"/>
                <w:szCs w:val="20"/>
              </w:rPr>
            </w:pPr>
            <w:r>
              <w:rPr>
                <w:rFonts w:cs="Arial"/>
                <w:sz w:val="20"/>
                <w:szCs w:val="20"/>
              </w:rPr>
              <w:t>S</w:t>
            </w:r>
          </w:p>
        </w:tc>
        <w:tc>
          <w:tcPr>
            <w:tcW w:w="992" w:type="dxa"/>
            <w:vAlign w:val="center"/>
          </w:tcPr>
          <w:p w:rsidRPr="000765B1" w:rsidR="007820DD" w:rsidP="007820DD" w:rsidRDefault="007820DD" w14:paraId="6613D09C" w14:textId="300D5DB9">
            <w:pPr>
              <w:keepNext/>
              <w:keepLines/>
              <w:jc w:val="center"/>
              <w:rPr>
                <w:rFonts w:cs="Arial"/>
                <w:sz w:val="20"/>
                <w:szCs w:val="20"/>
              </w:rPr>
            </w:pPr>
            <w:r>
              <w:rPr>
                <w:rFonts w:cs="Arial"/>
                <w:sz w:val="20"/>
                <w:szCs w:val="20"/>
              </w:rPr>
              <w:t>S</w:t>
            </w:r>
          </w:p>
        </w:tc>
      </w:tr>
      <w:tr w:rsidRPr="000765B1" w:rsidR="007820DD" w:rsidTr="00DF523F" w14:paraId="3AFADFA4" w14:textId="77777777">
        <w:trPr>
          <w:trHeight w:val="232"/>
        </w:trPr>
        <w:tc>
          <w:tcPr>
            <w:tcW w:w="2147" w:type="dxa"/>
          </w:tcPr>
          <w:p w:rsidRPr="000765B1" w:rsidR="007820DD" w:rsidP="007820DD" w:rsidRDefault="007820DD" w14:paraId="62D031B4" w14:textId="77777777">
            <w:pPr>
              <w:keepNext/>
              <w:keepLines/>
              <w:rPr>
                <w:rFonts w:cs="Arial"/>
                <w:b/>
                <w:sz w:val="20"/>
                <w:szCs w:val="20"/>
              </w:rPr>
            </w:pPr>
          </w:p>
        </w:tc>
        <w:tc>
          <w:tcPr>
            <w:tcW w:w="1178" w:type="dxa"/>
            <w:vAlign w:val="center"/>
          </w:tcPr>
          <w:p w:rsidRPr="000765B1" w:rsidR="007820DD" w:rsidP="007820DD" w:rsidRDefault="007820DD" w14:paraId="680FC05F" w14:textId="77777777">
            <w:pPr>
              <w:keepNext/>
              <w:keepLines/>
              <w:jc w:val="center"/>
              <w:rPr>
                <w:rFonts w:cs="Arial"/>
                <w:sz w:val="20"/>
                <w:szCs w:val="20"/>
              </w:rPr>
            </w:pPr>
            <w:r w:rsidRPr="000765B1">
              <w:rPr>
                <w:rFonts w:cs="Arial"/>
                <w:sz w:val="20"/>
                <w:szCs w:val="20"/>
              </w:rPr>
              <w:t>B4</w:t>
            </w:r>
          </w:p>
        </w:tc>
        <w:tc>
          <w:tcPr>
            <w:tcW w:w="923" w:type="dxa"/>
            <w:vAlign w:val="center"/>
          </w:tcPr>
          <w:p w:rsidRPr="000765B1" w:rsidR="007820DD" w:rsidP="007820DD" w:rsidRDefault="007820DD" w14:paraId="0E014170" w14:textId="394687FC">
            <w:pPr>
              <w:keepNext/>
              <w:keepLines/>
              <w:jc w:val="center"/>
              <w:rPr>
                <w:rFonts w:cs="Arial"/>
                <w:sz w:val="20"/>
                <w:szCs w:val="20"/>
              </w:rPr>
            </w:pPr>
            <w:r>
              <w:rPr>
                <w:rFonts w:cs="Arial"/>
                <w:sz w:val="20"/>
                <w:szCs w:val="20"/>
              </w:rPr>
              <w:t>S</w:t>
            </w:r>
          </w:p>
        </w:tc>
        <w:tc>
          <w:tcPr>
            <w:tcW w:w="845" w:type="dxa"/>
            <w:vAlign w:val="center"/>
          </w:tcPr>
          <w:p w:rsidRPr="000765B1" w:rsidR="007820DD" w:rsidP="007820DD" w:rsidRDefault="007820DD" w14:paraId="61382BAB" w14:textId="34C7FB74">
            <w:pPr>
              <w:keepNext/>
              <w:keepLines/>
              <w:jc w:val="center"/>
              <w:rPr>
                <w:rFonts w:cs="Arial"/>
                <w:sz w:val="20"/>
                <w:szCs w:val="20"/>
              </w:rPr>
            </w:pPr>
            <w:r>
              <w:rPr>
                <w:rFonts w:cs="Arial"/>
                <w:sz w:val="20"/>
                <w:szCs w:val="20"/>
              </w:rPr>
              <w:t>S</w:t>
            </w:r>
          </w:p>
        </w:tc>
        <w:tc>
          <w:tcPr>
            <w:tcW w:w="998" w:type="dxa"/>
            <w:vAlign w:val="center"/>
          </w:tcPr>
          <w:p w:rsidRPr="000765B1" w:rsidR="007820DD" w:rsidP="007820DD" w:rsidRDefault="007820DD" w14:paraId="42F031FC" w14:textId="61DBAE61">
            <w:pPr>
              <w:keepNext/>
              <w:keepLines/>
              <w:jc w:val="center"/>
              <w:rPr>
                <w:rFonts w:cs="Arial"/>
                <w:sz w:val="20"/>
                <w:szCs w:val="20"/>
              </w:rPr>
            </w:pPr>
            <w:r>
              <w:rPr>
                <w:rFonts w:cs="Arial"/>
                <w:sz w:val="20"/>
                <w:szCs w:val="20"/>
              </w:rPr>
              <w:t>S</w:t>
            </w:r>
          </w:p>
        </w:tc>
        <w:tc>
          <w:tcPr>
            <w:tcW w:w="992" w:type="dxa"/>
            <w:vAlign w:val="center"/>
          </w:tcPr>
          <w:p w:rsidRPr="000765B1" w:rsidR="007820DD" w:rsidP="007820DD" w:rsidRDefault="007820DD" w14:paraId="13BA7BD9" w14:textId="43BDA54A">
            <w:pPr>
              <w:keepNext/>
              <w:keepLines/>
              <w:jc w:val="center"/>
              <w:rPr>
                <w:rFonts w:cs="Arial"/>
                <w:sz w:val="20"/>
                <w:szCs w:val="20"/>
              </w:rPr>
            </w:pPr>
            <w:r>
              <w:rPr>
                <w:rFonts w:cs="Arial"/>
                <w:sz w:val="20"/>
                <w:szCs w:val="20"/>
              </w:rPr>
              <w:t>S</w:t>
            </w:r>
          </w:p>
        </w:tc>
      </w:tr>
      <w:tr w:rsidRPr="000765B1" w:rsidR="007820DD" w:rsidTr="00DF523F" w14:paraId="12656ACA" w14:textId="77777777">
        <w:trPr>
          <w:trHeight w:val="232"/>
        </w:trPr>
        <w:tc>
          <w:tcPr>
            <w:tcW w:w="2147" w:type="dxa"/>
          </w:tcPr>
          <w:p w:rsidRPr="000765B1" w:rsidR="007820DD" w:rsidP="007820DD" w:rsidRDefault="007820DD" w14:paraId="4562604F" w14:textId="77777777">
            <w:pPr>
              <w:keepNext/>
              <w:keepLines/>
              <w:rPr>
                <w:rFonts w:cs="Arial"/>
                <w:b/>
                <w:sz w:val="20"/>
                <w:szCs w:val="20"/>
              </w:rPr>
            </w:pPr>
            <w:r w:rsidRPr="000765B1">
              <w:rPr>
                <w:rFonts w:cs="Arial"/>
                <w:b/>
                <w:sz w:val="20"/>
                <w:szCs w:val="20"/>
              </w:rPr>
              <w:t>Practical Skills</w:t>
            </w:r>
          </w:p>
        </w:tc>
        <w:tc>
          <w:tcPr>
            <w:tcW w:w="1178" w:type="dxa"/>
            <w:vAlign w:val="center"/>
          </w:tcPr>
          <w:p w:rsidRPr="000765B1" w:rsidR="007820DD" w:rsidP="007820DD" w:rsidRDefault="007820DD" w14:paraId="6A158659" w14:textId="77777777">
            <w:pPr>
              <w:keepNext/>
              <w:keepLines/>
              <w:jc w:val="center"/>
              <w:rPr>
                <w:rFonts w:cs="Arial"/>
                <w:sz w:val="20"/>
                <w:szCs w:val="20"/>
              </w:rPr>
            </w:pPr>
            <w:r w:rsidRPr="000765B1">
              <w:rPr>
                <w:rFonts w:cs="Arial"/>
                <w:sz w:val="20"/>
                <w:szCs w:val="20"/>
              </w:rPr>
              <w:t>C1</w:t>
            </w:r>
          </w:p>
        </w:tc>
        <w:tc>
          <w:tcPr>
            <w:tcW w:w="923" w:type="dxa"/>
            <w:vAlign w:val="center"/>
          </w:tcPr>
          <w:p w:rsidRPr="000765B1" w:rsidR="007820DD" w:rsidP="007820DD" w:rsidRDefault="007820DD" w14:paraId="497A548F" w14:textId="251E1128">
            <w:pPr>
              <w:keepNext/>
              <w:keepLines/>
              <w:jc w:val="center"/>
              <w:rPr>
                <w:rFonts w:cs="Arial"/>
                <w:sz w:val="20"/>
                <w:szCs w:val="20"/>
              </w:rPr>
            </w:pPr>
          </w:p>
        </w:tc>
        <w:tc>
          <w:tcPr>
            <w:tcW w:w="845" w:type="dxa"/>
            <w:vAlign w:val="center"/>
          </w:tcPr>
          <w:p w:rsidRPr="000765B1" w:rsidR="007820DD" w:rsidP="007820DD" w:rsidRDefault="007820DD" w14:paraId="750AD992" w14:textId="73273456">
            <w:pPr>
              <w:keepNext/>
              <w:keepLines/>
              <w:jc w:val="center"/>
              <w:rPr>
                <w:rFonts w:cs="Arial"/>
                <w:sz w:val="20"/>
                <w:szCs w:val="20"/>
              </w:rPr>
            </w:pPr>
          </w:p>
        </w:tc>
        <w:tc>
          <w:tcPr>
            <w:tcW w:w="998" w:type="dxa"/>
            <w:vAlign w:val="center"/>
          </w:tcPr>
          <w:p w:rsidRPr="000765B1" w:rsidR="007820DD" w:rsidP="007820DD" w:rsidRDefault="00F944B4" w14:paraId="3C49BE42" w14:textId="440C90DE">
            <w:pPr>
              <w:keepNext/>
              <w:keepLines/>
              <w:jc w:val="center"/>
              <w:rPr>
                <w:rFonts w:cs="Arial"/>
                <w:sz w:val="20"/>
                <w:szCs w:val="20"/>
              </w:rPr>
            </w:pPr>
            <w:r>
              <w:rPr>
                <w:rFonts w:cs="Arial"/>
                <w:sz w:val="20"/>
                <w:szCs w:val="20"/>
              </w:rPr>
              <w:t>S</w:t>
            </w:r>
          </w:p>
        </w:tc>
        <w:tc>
          <w:tcPr>
            <w:tcW w:w="992" w:type="dxa"/>
            <w:vAlign w:val="center"/>
          </w:tcPr>
          <w:p w:rsidRPr="000765B1" w:rsidR="007820DD" w:rsidP="007820DD" w:rsidRDefault="00F944B4" w14:paraId="7414CC81" w14:textId="311E789B">
            <w:pPr>
              <w:keepNext/>
              <w:keepLines/>
              <w:jc w:val="center"/>
              <w:rPr>
                <w:rFonts w:cs="Arial"/>
                <w:sz w:val="20"/>
                <w:szCs w:val="20"/>
              </w:rPr>
            </w:pPr>
            <w:r>
              <w:rPr>
                <w:rFonts w:cs="Arial"/>
                <w:sz w:val="20"/>
                <w:szCs w:val="20"/>
              </w:rPr>
              <w:t>S</w:t>
            </w:r>
          </w:p>
        </w:tc>
      </w:tr>
      <w:tr w:rsidRPr="000765B1" w:rsidR="007820DD" w:rsidTr="00DF523F" w14:paraId="27CED180" w14:textId="77777777">
        <w:trPr>
          <w:trHeight w:val="232"/>
        </w:trPr>
        <w:tc>
          <w:tcPr>
            <w:tcW w:w="2147" w:type="dxa"/>
          </w:tcPr>
          <w:p w:rsidRPr="000765B1" w:rsidR="007820DD" w:rsidP="007820DD" w:rsidRDefault="007820DD" w14:paraId="57BE8C17" w14:textId="77777777">
            <w:pPr>
              <w:keepNext/>
              <w:keepLines/>
              <w:rPr>
                <w:rFonts w:cs="Arial"/>
                <w:sz w:val="20"/>
                <w:szCs w:val="20"/>
              </w:rPr>
            </w:pPr>
          </w:p>
        </w:tc>
        <w:tc>
          <w:tcPr>
            <w:tcW w:w="1178" w:type="dxa"/>
            <w:vAlign w:val="center"/>
          </w:tcPr>
          <w:p w:rsidRPr="000765B1" w:rsidR="007820DD" w:rsidP="007820DD" w:rsidRDefault="007820DD" w14:paraId="44113DD9" w14:textId="77777777">
            <w:pPr>
              <w:keepNext/>
              <w:keepLines/>
              <w:jc w:val="center"/>
              <w:rPr>
                <w:rFonts w:cs="Arial"/>
                <w:sz w:val="20"/>
                <w:szCs w:val="20"/>
              </w:rPr>
            </w:pPr>
            <w:r w:rsidRPr="000765B1">
              <w:rPr>
                <w:rFonts w:cs="Arial"/>
                <w:sz w:val="20"/>
                <w:szCs w:val="20"/>
              </w:rPr>
              <w:t>C2</w:t>
            </w:r>
          </w:p>
        </w:tc>
        <w:tc>
          <w:tcPr>
            <w:tcW w:w="923" w:type="dxa"/>
            <w:vAlign w:val="center"/>
          </w:tcPr>
          <w:p w:rsidRPr="000765B1" w:rsidR="007820DD" w:rsidP="007820DD" w:rsidRDefault="007820DD" w14:paraId="17275A5B" w14:textId="0D84F052">
            <w:pPr>
              <w:keepNext/>
              <w:keepLines/>
              <w:jc w:val="center"/>
              <w:rPr>
                <w:rFonts w:cs="Arial"/>
                <w:sz w:val="20"/>
                <w:szCs w:val="20"/>
              </w:rPr>
            </w:pPr>
          </w:p>
        </w:tc>
        <w:tc>
          <w:tcPr>
            <w:tcW w:w="845" w:type="dxa"/>
            <w:vAlign w:val="center"/>
          </w:tcPr>
          <w:p w:rsidRPr="000765B1" w:rsidR="007820DD" w:rsidP="007820DD" w:rsidRDefault="007820DD" w14:paraId="5BC22202" w14:textId="420FBA2F">
            <w:pPr>
              <w:keepNext/>
              <w:keepLines/>
              <w:jc w:val="center"/>
              <w:rPr>
                <w:rFonts w:cs="Arial"/>
                <w:sz w:val="20"/>
                <w:szCs w:val="20"/>
              </w:rPr>
            </w:pPr>
          </w:p>
        </w:tc>
        <w:tc>
          <w:tcPr>
            <w:tcW w:w="998" w:type="dxa"/>
            <w:vAlign w:val="center"/>
          </w:tcPr>
          <w:p w:rsidRPr="000765B1" w:rsidR="007820DD" w:rsidP="007820DD" w:rsidRDefault="007820DD" w14:paraId="419F9579" w14:textId="529DAEC4">
            <w:pPr>
              <w:keepNext/>
              <w:keepLines/>
              <w:jc w:val="center"/>
              <w:rPr>
                <w:rFonts w:cs="Arial"/>
                <w:sz w:val="20"/>
                <w:szCs w:val="20"/>
              </w:rPr>
            </w:pPr>
          </w:p>
        </w:tc>
        <w:tc>
          <w:tcPr>
            <w:tcW w:w="992" w:type="dxa"/>
            <w:vAlign w:val="center"/>
          </w:tcPr>
          <w:p w:rsidRPr="000765B1" w:rsidR="007820DD" w:rsidP="007820DD" w:rsidRDefault="00F944B4" w14:paraId="22360845" w14:textId="7905919F">
            <w:pPr>
              <w:keepNext/>
              <w:keepLines/>
              <w:jc w:val="center"/>
              <w:rPr>
                <w:rFonts w:cs="Arial"/>
                <w:sz w:val="20"/>
                <w:szCs w:val="20"/>
              </w:rPr>
            </w:pPr>
            <w:r>
              <w:rPr>
                <w:rFonts w:cs="Arial"/>
                <w:sz w:val="20"/>
                <w:szCs w:val="20"/>
              </w:rPr>
              <w:t>S</w:t>
            </w:r>
          </w:p>
        </w:tc>
      </w:tr>
      <w:tr w:rsidRPr="000765B1" w:rsidR="007820DD" w:rsidTr="00DF523F" w14:paraId="511C8B44" w14:textId="77777777">
        <w:trPr>
          <w:trHeight w:val="246"/>
        </w:trPr>
        <w:tc>
          <w:tcPr>
            <w:tcW w:w="2147" w:type="dxa"/>
          </w:tcPr>
          <w:p w:rsidRPr="000765B1" w:rsidR="007820DD" w:rsidP="007820DD" w:rsidRDefault="007820DD" w14:paraId="4447EDD9" w14:textId="77777777">
            <w:pPr>
              <w:keepNext/>
              <w:keepLines/>
              <w:rPr>
                <w:rFonts w:cs="Arial"/>
                <w:sz w:val="20"/>
                <w:szCs w:val="20"/>
              </w:rPr>
            </w:pPr>
          </w:p>
        </w:tc>
        <w:tc>
          <w:tcPr>
            <w:tcW w:w="1178" w:type="dxa"/>
            <w:vAlign w:val="center"/>
          </w:tcPr>
          <w:p w:rsidRPr="000765B1" w:rsidR="007820DD" w:rsidP="007820DD" w:rsidRDefault="007820DD" w14:paraId="167C6936" w14:textId="77777777">
            <w:pPr>
              <w:keepNext/>
              <w:keepLines/>
              <w:jc w:val="center"/>
              <w:rPr>
                <w:rFonts w:cs="Arial"/>
                <w:sz w:val="20"/>
                <w:szCs w:val="20"/>
              </w:rPr>
            </w:pPr>
            <w:r w:rsidRPr="000765B1">
              <w:rPr>
                <w:rFonts w:cs="Arial"/>
                <w:sz w:val="20"/>
                <w:szCs w:val="20"/>
              </w:rPr>
              <w:t>C3</w:t>
            </w:r>
          </w:p>
        </w:tc>
        <w:tc>
          <w:tcPr>
            <w:tcW w:w="923" w:type="dxa"/>
            <w:vAlign w:val="center"/>
          </w:tcPr>
          <w:p w:rsidRPr="000765B1" w:rsidR="007820DD" w:rsidP="007820DD" w:rsidRDefault="00F944B4" w14:paraId="3BEE0C1C" w14:textId="1C73B74F">
            <w:pPr>
              <w:keepNext/>
              <w:keepLines/>
              <w:jc w:val="center"/>
              <w:rPr>
                <w:rFonts w:cs="Arial"/>
                <w:sz w:val="20"/>
                <w:szCs w:val="20"/>
              </w:rPr>
            </w:pPr>
            <w:r>
              <w:rPr>
                <w:rFonts w:cs="Arial"/>
                <w:sz w:val="20"/>
                <w:szCs w:val="20"/>
              </w:rPr>
              <w:t>S</w:t>
            </w:r>
          </w:p>
        </w:tc>
        <w:tc>
          <w:tcPr>
            <w:tcW w:w="845" w:type="dxa"/>
            <w:vAlign w:val="center"/>
          </w:tcPr>
          <w:p w:rsidRPr="000765B1" w:rsidR="007820DD" w:rsidP="007820DD" w:rsidRDefault="007820DD" w14:paraId="36536191" w14:textId="70666920">
            <w:pPr>
              <w:keepNext/>
              <w:keepLines/>
              <w:jc w:val="center"/>
              <w:rPr>
                <w:rFonts w:cs="Arial"/>
                <w:sz w:val="20"/>
                <w:szCs w:val="20"/>
              </w:rPr>
            </w:pPr>
          </w:p>
        </w:tc>
        <w:tc>
          <w:tcPr>
            <w:tcW w:w="998" w:type="dxa"/>
            <w:vAlign w:val="center"/>
          </w:tcPr>
          <w:p w:rsidRPr="000765B1" w:rsidR="007820DD" w:rsidP="007820DD" w:rsidRDefault="00F944B4" w14:paraId="37D2D7E2" w14:textId="65B06D42">
            <w:pPr>
              <w:keepNext/>
              <w:keepLines/>
              <w:jc w:val="center"/>
              <w:rPr>
                <w:rFonts w:cs="Arial"/>
                <w:sz w:val="20"/>
                <w:szCs w:val="20"/>
              </w:rPr>
            </w:pPr>
            <w:r>
              <w:rPr>
                <w:rFonts w:cs="Arial"/>
                <w:sz w:val="20"/>
                <w:szCs w:val="20"/>
              </w:rPr>
              <w:t>S</w:t>
            </w:r>
          </w:p>
        </w:tc>
        <w:tc>
          <w:tcPr>
            <w:tcW w:w="992" w:type="dxa"/>
            <w:vAlign w:val="center"/>
          </w:tcPr>
          <w:p w:rsidRPr="000765B1" w:rsidR="007820DD" w:rsidP="007820DD" w:rsidRDefault="00F944B4" w14:paraId="2EB0DBA2" w14:textId="3C5C576A">
            <w:pPr>
              <w:keepNext/>
              <w:keepLines/>
              <w:jc w:val="center"/>
              <w:rPr>
                <w:rFonts w:cs="Arial"/>
                <w:sz w:val="20"/>
                <w:szCs w:val="20"/>
              </w:rPr>
            </w:pPr>
            <w:r>
              <w:rPr>
                <w:rFonts w:cs="Arial"/>
                <w:sz w:val="20"/>
                <w:szCs w:val="20"/>
              </w:rPr>
              <w:t>S</w:t>
            </w:r>
          </w:p>
        </w:tc>
      </w:tr>
      <w:tr w:rsidRPr="000765B1" w:rsidR="007820DD" w:rsidTr="00DF523F" w14:paraId="479BE87D" w14:textId="77777777">
        <w:trPr>
          <w:trHeight w:val="232"/>
        </w:trPr>
        <w:tc>
          <w:tcPr>
            <w:tcW w:w="2147" w:type="dxa"/>
          </w:tcPr>
          <w:p w:rsidRPr="000765B1" w:rsidR="007820DD" w:rsidP="007820DD" w:rsidRDefault="007820DD" w14:paraId="4F1783B2" w14:textId="77777777">
            <w:pPr>
              <w:keepNext/>
              <w:keepLines/>
              <w:rPr>
                <w:rFonts w:cs="Arial"/>
                <w:sz w:val="20"/>
                <w:szCs w:val="20"/>
              </w:rPr>
            </w:pPr>
          </w:p>
        </w:tc>
        <w:tc>
          <w:tcPr>
            <w:tcW w:w="1178" w:type="dxa"/>
            <w:vAlign w:val="center"/>
          </w:tcPr>
          <w:p w:rsidRPr="000765B1" w:rsidR="007820DD" w:rsidP="007820DD" w:rsidRDefault="007820DD" w14:paraId="54243541" w14:textId="77777777">
            <w:pPr>
              <w:keepNext/>
              <w:keepLines/>
              <w:jc w:val="center"/>
              <w:rPr>
                <w:rFonts w:cs="Arial"/>
                <w:sz w:val="20"/>
                <w:szCs w:val="20"/>
              </w:rPr>
            </w:pPr>
            <w:r w:rsidRPr="000765B1">
              <w:rPr>
                <w:rFonts w:cs="Arial"/>
                <w:sz w:val="20"/>
                <w:szCs w:val="20"/>
              </w:rPr>
              <w:t>C4</w:t>
            </w:r>
          </w:p>
        </w:tc>
        <w:tc>
          <w:tcPr>
            <w:tcW w:w="923" w:type="dxa"/>
            <w:vAlign w:val="center"/>
          </w:tcPr>
          <w:p w:rsidRPr="000765B1" w:rsidR="007820DD" w:rsidP="007820DD" w:rsidRDefault="007820DD" w14:paraId="3ABC875F" w14:textId="40042386">
            <w:pPr>
              <w:keepNext/>
              <w:keepLines/>
              <w:jc w:val="center"/>
              <w:rPr>
                <w:rFonts w:cs="Arial"/>
                <w:sz w:val="20"/>
                <w:szCs w:val="20"/>
              </w:rPr>
            </w:pPr>
          </w:p>
        </w:tc>
        <w:tc>
          <w:tcPr>
            <w:tcW w:w="845" w:type="dxa"/>
            <w:vAlign w:val="center"/>
          </w:tcPr>
          <w:p w:rsidRPr="000765B1" w:rsidR="007820DD" w:rsidP="007820DD" w:rsidRDefault="00F944B4" w14:paraId="6DA20EB1" w14:textId="3D926090">
            <w:pPr>
              <w:keepNext/>
              <w:keepLines/>
              <w:jc w:val="center"/>
              <w:rPr>
                <w:rFonts w:cs="Arial"/>
                <w:sz w:val="20"/>
                <w:szCs w:val="20"/>
              </w:rPr>
            </w:pPr>
            <w:r>
              <w:rPr>
                <w:rFonts w:cs="Arial"/>
                <w:sz w:val="20"/>
                <w:szCs w:val="20"/>
              </w:rPr>
              <w:t>S</w:t>
            </w:r>
          </w:p>
        </w:tc>
        <w:tc>
          <w:tcPr>
            <w:tcW w:w="998" w:type="dxa"/>
            <w:vAlign w:val="center"/>
          </w:tcPr>
          <w:p w:rsidRPr="000765B1" w:rsidR="007820DD" w:rsidP="007820DD" w:rsidRDefault="007820DD" w14:paraId="7D1A8B91" w14:textId="4573B961">
            <w:pPr>
              <w:keepNext/>
              <w:keepLines/>
              <w:jc w:val="center"/>
              <w:rPr>
                <w:rFonts w:cs="Arial"/>
                <w:sz w:val="20"/>
                <w:szCs w:val="20"/>
              </w:rPr>
            </w:pPr>
          </w:p>
        </w:tc>
        <w:tc>
          <w:tcPr>
            <w:tcW w:w="992" w:type="dxa"/>
            <w:vAlign w:val="center"/>
          </w:tcPr>
          <w:p w:rsidRPr="000765B1" w:rsidR="007820DD" w:rsidP="007820DD" w:rsidRDefault="00F944B4" w14:paraId="7E692FD6" w14:textId="338F5319">
            <w:pPr>
              <w:keepNext/>
              <w:keepLines/>
              <w:jc w:val="center"/>
              <w:rPr>
                <w:rFonts w:cs="Arial"/>
                <w:sz w:val="20"/>
                <w:szCs w:val="20"/>
              </w:rPr>
            </w:pPr>
            <w:r>
              <w:rPr>
                <w:rFonts w:cs="Arial"/>
                <w:sz w:val="20"/>
                <w:szCs w:val="20"/>
              </w:rPr>
              <w:t>S</w:t>
            </w:r>
          </w:p>
        </w:tc>
      </w:tr>
      <w:tr w:rsidRPr="000765B1" w:rsidR="007820DD" w:rsidTr="00DF523F" w14:paraId="3F179DB3" w14:textId="77777777">
        <w:trPr>
          <w:trHeight w:val="232"/>
        </w:trPr>
        <w:tc>
          <w:tcPr>
            <w:tcW w:w="2147" w:type="dxa"/>
          </w:tcPr>
          <w:p w:rsidRPr="000765B1" w:rsidR="007820DD" w:rsidP="007820DD" w:rsidRDefault="007820DD" w14:paraId="07792AB0" w14:textId="77777777">
            <w:pPr>
              <w:keepNext/>
              <w:keepLines/>
              <w:rPr>
                <w:rFonts w:cs="Arial"/>
                <w:sz w:val="20"/>
                <w:szCs w:val="20"/>
              </w:rPr>
            </w:pPr>
          </w:p>
        </w:tc>
        <w:tc>
          <w:tcPr>
            <w:tcW w:w="1178" w:type="dxa"/>
            <w:vAlign w:val="center"/>
          </w:tcPr>
          <w:p w:rsidRPr="000765B1" w:rsidR="007820DD" w:rsidP="007820DD" w:rsidRDefault="007820DD" w14:paraId="4E674826" w14:textId="77777777">
            <w:pPr>
              <w:keepNext/>
              <w:keepLines/>
              <w:jc w:val="center"/>
              <w:rPr>
                <w:rFonts w:cs="Arial"/>
                <w:sz w:val="20"/>
                <w:szCs w:val="20"/>
              </w:rPr>
            </w:pPr>
          </w:p>
        </w:tc>
        <w:tc>
          <w:tcPr>
            <w:tcW w:w="923" w:type="dxa"/>
            <w:vAlign w:val="center"/>
          </w:tcPr>
          <w:p w:rsidR="007820DD" w:rsidP="007820DD" w:rsidRDefault="007820DD" w14:paraId="6B47CC11" w14:textId="79D3AC2F">
            <w:pPr>
              <w:keepNext/>
              <w:keepLines/>
              <w:jc w:val="center"/>
              <w:rPr>
                <w:rFonts w:cs="Arial"/>
                <w:sz w:val="20"/>
                <w:szCs w:val="20"/>
              </w:rPr>
            </w:pPr>
          </w:p>
        </w:tc>
        <w:tc>
          <w:tcPr>
            <w:tcW w:w="845" w:type="dxa"/>
            <w:vAlign w:val="center"/>
          </w:tcPr>
          <w:p w:rsidR="007820DD" w:rsidP="007820DD" w:rsidRDefault="007820DD" w14:paraId="3C6CA874" w14:textId="23DBD87A">
            <w:pPr>
              <w:keepNext/>
              <w:keepLines/>
              <w:jc w:val="center"/>
              <w:rPr>
                <w:rFonts w:cs="Arial"/>
                <w:sz w:val="20"/>
                <w:szCs w:val="20"/>
              </w:rPr>
            </w:pPr>
          </w:p>
        </w:tc>
        <w:tc>
          <w:tcPr>
            <w:tcW w:w="998" w:type="dxa"/>
            <w:vAlign w:val="center"/>
          </w:tcPr>
          <w:p w:rsidRPr="000765B1" w:rsidR="007820DD" w:rsidP="007820DD" w:rsidRDefault="007820DD" w14:paraId="2F8742C8" w14:textId="5AFB9E2E">
            <w:pPr>
              <w:keepNext/>
              <w:keepLines/>
              <w:jc w:val="center"/>
              <w:rPr>
                <w:rFonts w:cs="Arial"/>
                <w:sz w:val="20"/>
                <w:szCs w:val="20"/>
              </w:rPr>
            </w:pPr>
          </w:p>
        </w:tc>
        <w:tc>
          <w:tcPr>
            <w:tcW w:w="992" w:type="dxa"/>
            <w:vAlign w:val="center"/>
          </w:tcPr>
          <w:p w:rsidR="007820DD" w:rsidP="007820DD" w:rsidRDefault="007820DD" w14:paraId="7319C7EC" w14:textId="10C9A6AE">
            <w:pPr>
              <w:keepNext/>
              <w:keepLines/>
              <w:jc w:val="center"/>
              <w:rPr>
                <w:rFonts w:cs="Arial"/>
                <w:sz w:val="20"/>
                <w:szCs w:val="20"/>
              </w:rPr>
            </w:pPr>
          </w:p>
        </w:tc>
      </w:tr>
    </w:tbl>
    <w:p w:rsidRPr="000765B1" w:rsidR="00A92C9B" w:rsidP="00A92C9B" w:rsidRDefault="00A92C9B" w14:paraId="127B451F" w14:textId="77777777">
      <w:pPr>
        <w:tabs>
          <w:tab w:val="left" w:pos="426"/>
        </w:tabs>
        <w:rPr>
          <w:rFonts w:cs="Arial"/>
          <w:b/>
          <w:sz w:val="22"/>
        </w:rPr>
      </w:pPr>
      <w:r w:rsidRPr="000765B1">
        <w:rPr>
          <w:rFonts w:cs="Arial"/>
          <w:b/>
          <w:sz w:val="22"/>
        </w:rPr>
        <w:t>Students will be provided with formative assessment opportunities throughout the course to practise and develop their proficiency in the range of assessment methods utilised.</w:t>
      </w:r>
    </w:p>
    <w:p w:rsidR="00A62F3A" w:rsidRDefault="00A62F3A" w14:paraId="4C12F97A" w14:textId="77777777"/>
    <w:sectPr w:rsidR="00A62F3A" w:rsidSect="00A62F3A">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097D" w:rsidRDefault="0051097D" w14:paraId="1A011454" w14:textId="77777777">
      <w:r>
        <w:separator/>
      </w:r>
    </w:p>
  </w:endnote>
  <w:endnote w:type="continuationSeparator" w:id="0">
    <w:p w:rsidR="0051097D" w:rsidRDefault="0051097D" w14:paraId="56901E0C" w14:textId="77777777">
      <w:r>
        <w:continuationSeparator/>
      </w:r>
    </w:p>
  </w:endnote>
  <w:endnote w:type="continuationNotice" w:id="1">
    <w:p w:rsidR="0051097D" w:rsidRDefault="0051097D" w14:paraId="5E99ECB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028D" w:rsidRDefault="00F0028D" w14:paraId="34E2DD8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2F3A" w:rsidP="00A62F3A" w:rsidRDefault="00A92C9B" w14:paraId="544F2F84" w14:textId="54F34F18">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B74B6C">
      <w:rPr>
        <w:sz w:val="16"/>
      </w:rPr>
      <w:t>2022-23</w:t>
    </w:r>
    <w:proofErr w:type="gramStart"/>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62F3A" w:rsidP="00A62F3A" w:rsidRDefault="00A62F3A" w14:paraId="7CDEC233" w14:textId="77777777">
    <w:pPr>
      <w:pStyle w:val="Footer"/>
    </w:pPr>
  </w:p>
  <w:p w:rsidRPr="00165D50" w:rsidR="00A62F3A" w:rsidP="00A62F3A" w:rsidRDefault="00A62F3A" w14:paraId="08CD2A4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028D" w:rsidRDefault="00F0028D" w14:paraId="76BD236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097D" w:rsidRDefault="0051097D" w14:paraId="42CC9A12" w14:textId="77777777">
      <w:r>
        <w:separator/>
      </w:r>
    </w:p>
  </w:footnote>
  <w:footnote w:type="continuationSeparator" w:id="0">
    <w:p w:rsidR="0051097D" w:rsidRDefault="0051097D" w14:paraId="224AFEA8" w14:textId="77777777">
      <w:r>
        <w:continuationSeparator/>
      </w:r>
    </w:p>
  </w:footnote>
  <w:footnote w:type="continuationNotice" w:id="1">
    <w:p w:rsidR="0051097D" w:rsidRDefault="0051097D" w14:paraId="67896CD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028D" w:rsidRDefault="00F0028D" w14:paraId="55BA55A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028D" w:rsidRDefault="00F0028D" w14:paraId="5BAD34E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028D" w:rsidRDefault="00F0028D" w14:paraId="503AFC9F"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ChbdOB0v">
      <int2:state int2:value="Rejected" int2:type="LegacyProofing"/>
    </int2:textHash>
    <int2:textHash int2:hashCode="Q4mAhf+g2fxaQA" int2:id="jPNjDPfi">
      <int2:state int2:value="Rejected" int2:type="LegacyProofing"/>
    </int2:textHash>
    <int2:textHash int2:hashCode="8P+eS1ugbl5CIW" int2:id="ENoHoiN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341C2D"/>
    <w:multiLevelType w:val="hybridMultilevel"/>
    <w:tmpl w:val="23BE71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C710C8C"/>
    <w:multiLevelType w:val="hybridMultilevel"/>
    <w:tmpl w:val="FA2E42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2462AE9"/>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731D43"/>
    <w:multiLevelType w:val="hybridMultilevel"/>
    <w:tmpl w:val="AD5AD7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4AD332B"/>
    <w:multiLevelType w:val="hybridMultilevel"/>
    <w:tmpl w:val="860615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57417E7"/>
    <w:multiLevelType w:val="hybridMultilevel"/>
    <w:tmpl w:val="4606EAC8"/>
    <w:lvl w:ilvl="0" w:tplc="08090001">
      <w:start w:val="1"/>
      <w:numFmt w:val="bullet"/>
      <w:lvlText w:val=""/>
      <w:lvlJc w:val="left"/>
      <w:pPr>
        <w:ind w:left="720" w:hanging="360"/>
      </w:pPr>
      <w:rPr>
        <w:rFonts w:hint="default" w:ascii="Symbol" w:hAnsi="Symbol"/>
      </w:rPr>
    </w:lvl>
    <w:lvl w:ilvl="1" w:tplc="56AC9CD8">
      <w:numFmt w:val="bullet"/>
      <w:lvlText w:val="•"/>
      <w:lvlJc w:val="left"/>
      <w:pPr>
        <w:ind w:left="1110" w:hanging="30"/>
      </w:pPr>
      <w:rPr>
        <w:rFonts w:hint="default" w:ascii="Calibri" w:hAnsi="Calibri" w:cs="Calibri" w:eastAsia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0858F0"/>
    <w:multiLevelType w:val="hybridMultilevel"/>
    <w:tmpl w:val="4B9620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DF12B88"/>
    <w:multiLevelType w:val="hybridMultilevel"/>
    <w:tmpl w:val="764A92D0"/>
    <w:lvl w:ilvl="0" w:tplc="08090001">
      <w:start w:val="1"/>
      <w:numFmt w:val="bullet"/>
      <w:lvlText w:val=""/>
      <w:lvlJc w:val="left"/>
      <w:pPr>
        <w:ind w:left="720" w:hanging="360"/>
      </w:pPr>
      <w:rPr>
        <w:rFonts w:hint="default" w:ascii="Symbol" w:hAnsi="Symbol"/>
      </w:rPr>
    </w:lvl>
    <w:lvl w:ilvl="1" w:tplc="56AC9CD8">
      <w:numFmt w:val="bullet"/>
      <w:lvlText w:val="•"/>
      <w:lvlJc w:val="left"/>
      <w:pPr>
        <w:ind w:left="1110" w:hanging="30"/>
      </w:pPr>
      <w:rPr>
        <w:rFonts w:hint="default" w:ascii="Calibri" w:hAnsi="Calibri" w:cs="Calibri" w:eastAsia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67E92291"/>
    <w:multiLevelType w:val="hybridMultilevel"/>
    <w:tmpl w:val="91A4A2EA"/>
    <w:lvl w:ilvl="0" w:tplc="08090001">
      <w:start w:val="1"/>
      <w:numFmt w:val="bullet"/>
      <w:lvlText w:val=""/>
      <w:lvlJc w:val="left"/>
      <w:pPr>
        <w:ind w:left="720" w:hanging="360"/>
      </w:pPr>
      <w:rPr>
        <w:rFonts w:hint="default" w:ascii="Symbol" w:hAnsi="Symbol"/>
        <w:i w:val="0"/>
      </w:rPr>
    </w:lvl>
    <w:lvl w:ilvl="1" w:tplc="56AC9CD8">
      <w:numFmt w:val="bullet"/>
      <w:lvlText w:val="•"/>
      <w:lvlJc w:val="left"/>
      <w:pPr>
        <w:ind w:left="1110" w:hanging="30"/>
      </w:pPr>
      <w:rPr>
        <w:rFonts w:hint="default" w:ascii="Calibri" w:hAnsi="Calibri" w:cs="Calibri" w:eastAsia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667335"/>
    <w:multiLevelType w:val="singleLevel"/>
    <w:tmpl w:val="2BE44B0A"/>
    <w:lvl w:ilvl="0">
      <w:start w:val="3"/>
      <w:numFmt w:val="bullet"/>
      <w:lvlText w:val=""/>
      <w:lvlJc w:val="left"/>
      <w:pPr>
        <w:tabs>
          <w:tab w:val="num" w:pos="1430"/>
        </w:tabs>
        <w:ind w:left="1430" w:hanging="720"/>
      </w:pPr>
      <w:rPr>
        <w:rFonts w:hint="default" w:ascii="Symbol" w:hAnsi="Symbol"/>
      </w:rPr>
    </w:lvl>
  </w:abstractNum>
  <w:num w:numId="1" w16cid:durableId="961349709">
    <w:abstractNumId w:val="9"/>
  </w:num>
  <w:num w:numId="2" w16cid:durableId="632950523">
    <w:abstractNumId w:val="11"/>
  </w:num>
  <w:num w:numId="3" w16cid:durableId="1272741661">
    <w:abstractNumId w:val="4"/>
  </w:num>
  <w:num w:numId="4" w16cid:durableId="1898467993">
    <w:abstractNumId w:val="5"/>
  </w:num>
  <w:num w:numId="5" w16cid:durableId="1940723614">
    <w:abstractNumId w:val="10"/>
  </w:num>
  <w:num w:numId="6" w16cid:durableId="1237982149">
    <w:abstractNumId w:val="12"/>
  </w:num>
  <w:num w:numId="7" w16cid:durableId="618221558">
    <w:abstractNumId w:val="2"/>
  </w:num>
  <w:num w:numId="8" w16cid:durableId="900169001">
    <w:abstractNumId w:val="0"/>
  </w:num>
  <w:num w:numId="9" w16cid:durableId="812530580">
    <w:abstractNumId w:val="7"/>
  </w:num>
  <w:num w:numId="10" w16cid:durableId="1121925262">
    <w:abstractNumId w:val="8"/>
  </w:num>
  <w:num w:numId="11" w16cid:durableId="58526491">
    <w:abstractNumId w:val="6"/>
  </w:num>
  <w:num w:numId="12" w16cid:durableId="2098473975">
    <w:abstractNumId w:val="13"/>
  </w:num>
  <w:num w:numId="13" w16cid:durableId="594441147">
    <w:abstractNumId w:val="3"/>
  </w:num>
  <w:num w:numId="14" w16cid:durableId="622151037">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3008"/>
    <w:rsid w:val="000039DE"/>
    <w:rsid w:val="00014170"/>
    <w:rsid w:val="00026E9C"/>
    <w:rsid w:val="000458ED"/>
    <w:rsid w:val="00057E75"/>
    <w:rsid w:val="00063F25"/>
    <w:rsid w:val="000765B1"/>
    <w:rsid w:val="000C4D38"/>
    <w:rsid w:val="000C681F"/>
    <w:rsid w:val="000D5DFE"/>
    <w:rsid w:val="000D6ADD"/>
    <w:rsid w:val="00100CD2"/>
    <w:rsid w:val="001138FC"/>
    <w:rsid w:val="0013785F"/>
    <w:rsid w:val="0014470C"/>
    <w:rsid w:val="00150CB9"/>
    <w:rsid w:val="00151BB7"/>
    <w:rsid w:val="00171F17"/>
    <w:rsid w:val="001772B1"/>
    <w:rsid w:val="00187BE7"/>
    <w:rsid w:val="00197FD9"/>
    <w:rsid w:val="001E6CD4"/>
    <w:rsid w:val="0020714E"/>
    <w:rsid w:val="002076CF"/>
    <w:rsid w:val="002102BE"/>
    <w:rsid w:val="00275D06"/>
    <w:rsid w:val="002925B1"/>
    <w:rsid w:val="00292F31"/>
    <w:rsid w:val="002A4E21"/>
    <w:rsid w:val="002B10B3"/>
    <w:rsid w:val="00315B72"/>
    <w:rsid w:val="0033397A"/>
    <w:rsid w:val="0034485E"/>
    <w:rsid w:val="003674E3"/>
    <w:rsid w:val="00385F2B"/>
    <w:rsid w:val="00394339"/>
    <w:rsid w:val="003A222B"/>
    <w:rsid w:val="003B3BC3"/>
    <w:rsid w:val="003B5765"/>
    <w:rsid w:val="003E7D4C"/>
    <w:rsid w:val="0044427F"/>
    <w:rsid w:val="00456B69"/>
    <w:rsid w:val="004613DA"/>
    <w:rsid w:val="00475309"/>
    <w:rsid w:val="00496012"/>
    <w:rsid w:val="004C2050"/>
    <w:rsid w:val="004D4AA4"/>
    <w:rsid w:val="004E15BA"/>
    <w:rsid w:val="0050367E"/>
    <w:rsid w:val="00506562"/>
    <w:rsid w:val="0050771D"/>
    <w:rsid w:val="0051097D"/>
    <w:rsid w:val="005379CD"/>
    <w:rsid w:val="005406ED"/>
    <w:rsid w:val="005507CD"/>
    <w:rsid w:val="00553807"/>
    <w:rsid w:val="00554C98"/>
    <w:rsid w:val="0055500E"/>
    <w:rsid w:val="00563A9C"/>
    <w:rsid w:val="0057046F"/>
    <w:rsid w:val="00571EBC"/>
    <w:rsid w:val="005775F0"/>
    <w:rsid w:val="00584DC3"/>
    <w:rsid w:val="00586AE5"/>
    <w:rsid w:val="005C2FF6"/>
    <w:rsid w:val="005D642B"/>
    <w:rsid w:val="005D66B9"/>
    <w:rsid w:val="0063180A"/>
    <w:rsid w:val="00662805"/>
    <w:rsid w:val="00671040"/>
    <w:rsid w:val="006C056E"/>
    <w:rsid w:val="006C2CF3"/>
    <w:rsid w:val="006E0FC0"/>
    <w:rsid w:val="006E1AAE"/>
    <w:rsid w:val="006E2755"/>
    <w:rsid w:val="006E3020"/>
    <w:rsid w:val="006F20CD"/>
    <w:rsid w:val="0070232B"/>
    <w:rsid w:val="00725AC3"/>
    <w:rsid w:val="00744890"/>
    <w:rsid w:val="00747557"/>
    <w:rsid w:val="007532F8"/>
    <w:rsid w:val="00780744"/>
    <w:rsid w:val="007820DD"/>
    <w:rsid w:val="00782C62"/>
    <w:rsid w:val="007859EB"/>
    <w:rsid w:val="00786BF3"/>
    <w:rsid w:val="00790BC3"/>
    <w:rsid w:val="007A07EF"/>
    <w:rsid w:val="007A4C1F"/>
    <w:rsid w:val="007A6BC2"/>
    <w:rsid w:val="007B080C"/>
    <w:rsid w:val="007E30DE"/>
    <w:rsid w:val="007E562C"/>
    <w:rsid w:val="007F6A4A"/>
    <w:rsid w:val="00800570"/>
    <w:rsid w:val="00814972"/>
    <w:rsid w:val="00864F7C"/>
    <w:rsid w:val="0087185A"/>
    <w:rsid w:val="00872DE5"/>
    <w:rsid w:val="00880925"/>
    <w:rsid w:val="00890A02"/>
    <w:rsid w:val="00896142"/>
    <w:rsid w:val="008C2999"/>
    <w:rsid w:val="008D1AD2"/>
    <w:rsid w:val="008D4866"/>
    <w:rsid w:val="008D66A1"/>
    <w:rsid w:val="008E77B1"/>
    <w:rsid w:val="00941A20"/>
    <w:rsid w:val="00952510"/>
    <w:rsid w:val="00954F67"/>
    <w:rsid w:val="00956BA6"/>
    <w:rsid w:val="009637E0"/>
    <w:rsid w:val="00965F90"/>
    <w:rsid w:val="00970D87"/>
    <w:rsid w:val="0097690F"/>
    <w:rsid w:val="00976B39"/>
    <w:rsid w:val="009A1DA5"/>
    <w:rsid w:val="009B5DFA"/>
    <w:rsid w:val="009C5D2D"/>
    <w:rsid w:val="009D2EF2"/>
    <w:rsid w:val="009D698A"/>
    <w:rsid w:val="009D6F0D"/>
    <w:rsid w:val="00A17F1C"/>
    <w:rsid w:val="00A27094"/>
    <w:rsid w:val="00A4007F"/>
    <w:rsid w:val="00A62F3A"/>
    <w:rsid w:val="00A6691A"/>
    <w:rsid w:val="00A756B7"/>
    <w:rsid w:val="00A82405"/>
    <w:rsid w:val="00A92C9B"/>
    <w:rsid w:val="00AA401E"/>
    <w:rsid w:val="00AA55BB"/>
    <w:rsid w:val="00AC2B1B"/>
    <w:rsid w:val="00B67510"/>
    <w:rsid w:val="00B74B6C"/>
    <w:rsid w:val="00B83849"/>
    <w:rsid w:val="00B87386"/>
    <w:rsid w:val="00B9370A"/>
    <w:rsid w:val="00BE6B3B"/>
    <w:rsid w:val="00BF0F40"/>
    <w:rsid w:val="00BF1022"/>
    <w:rsid w:val="00C32FF1"/>
    <w:rsid w:val="00C42092"/>
    <w:rsid w:val="00C447A7"/>
    <w:rsid w:val="00C53C1A"/>
    <w:rsid w:val="00C70212"/>
    <w:rsid w:val="00C72333"/>
    <w:rsid w:val="00C773D7"/>
    <w:rsid w:val="00C77B6F"/>
    <w:rsid w:val="00C92B48"/>
    <w:rsid w:val="00C9323F"/>
    <w:rsid w:val="00C95364"/>
    <w:rsid w:val="00CF166F"/>
    <w:rsid w:val="00D07A8A"/>
    <w:rsid w:val="00D14D3D"/>
    <w:rsid w:val="00D41545"/>
    <w:rsid w:val="00D46F7C"/>
    <w:rsid w:val="00D51BDA"/>
    <w:rsid w:val="00D560C2"/>
    <w:rsid w:val="00D60FC0"/>
    <w:rsid w:val="00D70083"/>
    <w:rsid w:val="00D7451E"/>
    <w:rsid w:val="00D76592"/>
    <w:rsid w:val="00DB2760"/>
    <w:rsid w:val="00DC198B"/>
    <w:rsid w:val="00DE65FE"/>
    <w:rsid w:val="00DF523F"/>
    <w:rsid w:val="00E16031"/>
    <w:rsid w:val="00E25F88"/>
    <w:rsid w:val="00E51918"/>
    <w:rsid w:val="00E52B20"/>
    <w:rsid w:val="00E5424F"/>
    <w:rsid w:val="00E76486"/>
    <w:rsid w:val="00EA3176"/>
    <w:rsid w:val="00EB108E"/>
    <w:rsid w:val="00F0028D"/>
    <w:rsid w:val="00F00817"/>
    <w:rsid w:val="00F00D94"/>
    <w:rsid w:val="00F32C90"/>
    <w:rsid w:val="00F420FD"/>
    <w:rsid w:val="00F944B4"/>
    <w:rsid w:val="00FB1500"/>
    <w:rsid w:val="00FB1CF9"/>
    <w:rsid w:val="00FB473B"/>
    <w:rsid w:val="00FB627D"/>
    <w:rsid w:val="00FB7D3F"/>
    <w:rsid w:val="00FD40AC"/>
    <w:rsid w:val="00FE1890"/>
    <w:rsid w:val="09C30F69"/>
    <w:rsid w:val="0B614D63"/>
    <w:rsid w:val="0D61E12D"/>
    <w:rsid w:val="0FA404D3"/>
    <w:rsid w:val="1114569F"/>
    <w:rsid w:val="13822864"/>
    <w:rsid w:val="15C7882E"/>
    <w:rsid w:val="183C712A"/>
    <w:rsid w:val="190CA3BD"/>
    <w:rsid w:val="19D8418B"/>
    <w:rsid w:val="1A2E7890"/>
    <w:rsid w:val="1B7411EC"/>
    <w:rsid w:val="1BD037FF"/>
    <w:rsid w:val="1CE2BC51"/>
    <w:rsid w:val="1D0FE24D"/>
    <w:rsid w:val="21E35370"/>
    <w:rsid w:val="275C4BA7"/>
    <w:rsid w:val="29A816FC"/>
    <w:rsid w:val="2A4507D9"/>
    <w:rsid w:val="2B43E75D"/>
    <w:rsid w:val="2CDFB7BE"/>
    <w:rsid w:val="2F66C1FA"/>
    <w:rsid w:val="34FF71FF"/>
    <w:rsid w:val="3590E6B2"/>
    <w:rsid w:val="361E6F21"/>
    <w:rsid w:val="367FC965"/>
    <w:rsid w:val="36BBAD86"/>
    <w:rsid w:val="3703FB87"/>
    <w:rsid w:val="386E992D"/>
    <w:rsid w:val="3C434EDF"/>
    <w:rsid w:val="3D40E9E5"/>
    <w:rsid w:val="3FE41CA6"/>
    <w:rsid w:val="40FD97A5"/>
    <w:rsid w:val="41027DDE"/>
    <w:rsid w:val="45C7D32D"/>
    <w:rsid w:val="45D108C8"/>
    <w:rsid w:val="46057FAC"/>
    <w:rsid w:val="4685E9F5"/>
    <w:rsid w:val="48492D71"/>
    <w:rsid w:val="49EEA43F"/>
    <w:rsid w:val="4A045908"/>
    <w:rsid w:val="4B1E2A37"/>
    <w:rsid w:val="4D3BF9CA"/>
    <w:rsid w:val="506BAE01"/>
    <w:rsid w:val="54980B33"/>
    <w:rsid w:val="54F7BC11"/>
    <w:rsid w:val="58CC4BF6"/>
    <w:rsid w:val="5A67BE8B"/>
    <w:rsid w:val="5C071BC2"/>
    <w:rsid w:val="5D5A0B1A"/>
    <w:rsid w:val="5F97541F"/>
    <w:rsid w:val="6091ABDC"/>
    <w:rsid w:val="69882520"/>
    <w:rsid w:val="6A14D503"/>
    <w:rsid w:val="6D82C41F"/>
    <w:rsid w:val="6D871E81"/>
    <w:rsid w:val="6FEEBB84"/>
    <w:rsid w:val="72228B1F"/>
    <w:rsid w:val="73B0B0E7"/>
    <w:rsid w:val="77137E5E"/>
    <w:rsid w:val="7821F68B"/>
    <w:rsid w:val="7ACDD51B"/>
    <w:rsid w:val="7B0712D8"/>
    <w:rsid w:val="7CC51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B790212A-4232-4D13-9BBE-B84BACD704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0083"/>
    <w:pPr>
      <w:spacing w:after="0" w:line="240" w:lineRule="auto"/>
    </w:pPr>
    <w:rPr>
      <w:rFonts w:ascii="Arial" w:hAnsi="Arial" w:eastAsia="Times New Roman"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outlineLvl w:val="2"/>
    </w:pPr>
    <w:rPr>
      <w:rFonts w:eastAsiaTheme="majorEastAsia" w:cstheme="majorBidi"/>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hAnsi="Calibri" w:eastAsia="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hAnsi="Calibri" w:eastAsia="Calibri"/>
      <w:sz w:val="22"/>
      <w:szCs w:val="22"/>
      <w:lang w:eastAsia="en-US"/>
    </w:rPr>
  </w:style>
  <w:style w:type="character" w:styleId="FooterChar" w:customStyle="1">
    <w:name w:val="Footer Char"/>
    <w:basedOn w:val="DefaultParagraphFont"/>
    <w:link w:val="Footer"/>
    <w:uiPriority w:val="99"/>
    <w:rsid w:val="00A92C9B"/>
    <w:rPr>
      <w:rFonts w:ascii="Calibri" w:hAnsi="Calibri" w:eastAsia="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styleId="HeaderChar" w:customStyle="1">
    <w:name w:val="Header Char"/>
    <w:basedOn w:val="DefaultParagraphFont"/>
    <w:link w:val="Header"/>
    <w:uiPriority w:val="99"/>
    <w:rsid w:val="00DC198B"/>
    <w:rPr>
      <w:rFonts w:ascii="Times New Roman" w:hAnsi="Times New Roman" w:eastAsia="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925B1"/>
    <w:rPr>
      <w:rFonts w:ascii="Segoe UI" w:hAnsi="Segoe UI" w:eastAsia="Times New Roman"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B83849"/>
    <w:rPr>
      <w:rFonts w:ascii="Arial" w:hAnsi="Arial" w:eastAsiaTheme="majorEastAsia" w:cstheme="majorBidi"/>
      <w:b/>
      <w:sz w:val="36"/>
      <w:szCs w:val="32"/>
      <w:lang w:eastAsia="en-GB"/>
    </w:rPr>
  </w:style>
  <w:style w:type="character" w:styleId="Heading2Char" w:customStyle="1">
    <w:name w:val="Heading 2 Char"/>
    <w:basedOn w:val="DefaultParagraphFont"/>
    <w:link w:val="Heading2"/>
    <w:uiPriority w:val="9"/>
    <w:rsid w:val="00B83849"/>
    <w:rPr>
      <w:rFonts w:ascii="Arial" w:hAnsi="Arial" w:eastAsiaTheme="majorEastAsia" w:cstheme="majorBidi"/>
      <w:b/>
      <w:sz w:val="28"/>
      <w:szCs w:val="26"/>
      <w:lang w:eastAsia="en-GB"/>
    </w:rPr>
  </w:style>
  <w:style w:type="character" w:styleId="Heading3Char" w:customStyle="1">
    <w:name w:val="Heading 3 Char"/>
    <w:basedOn w:val="DefaultParagraphFont"/>
    <w:link w:val="Heading3"/>
    <w:uiPriority w:val="9"/>
    <w:rsid w:val="00B83849"/>
    <w:rPr>
      <w:rFonts w:ascii="Arial" w:hAnsi="Arial" w:eastAsiaTheme="majorEastAsia" w:cstheme="majorBidi"/>
      <w:b/>
      <w:sz w:val="24"/>
      <w:szCs w:val="24"/>
      <w:lang w:eastAsia="en-GB"/>
    </w:rPr>
  </w:style>
  <w:style w:type="paragraph" w:styleId="Revision">
    <w:name w:val="Revision"/>
    <w:hidden/>
    <w:uiPriority w:val="99"/>
    <w:semiHidden/>
    <w:rsid w:val="00786BF3"/>
    <w:pPr>
      <w:spacing w:after="0" w:line="240" w:lineRule="auto"/>
    </w:pPr>
    <w:rPr>
      <w:rFonts w:ascii="Arial" w:hAnsi="Arial" w:eastAsia="Times New Roman" w:cs="Times New Roman"/>
      <w:sz w:val="24"/>
      <w:szCs w:val="24"/>
      <w:lang w:eastAsia="en-GB"/>
    </w:rPr>
  </w:style>
  <w:style w:type="paragraph" w:styleId="CommentText">
    <w:name w:val="annotation text"/>
    <w:basedOn w:val="Normal"/>
    <w:link w:val="CommentTextChar"/>
    <w:uiPriority w:val="99"/>
    <w:unhideWhenUsed/>
    <w:rsid w:val="008E77B1"/>
    <w:pPr>
      <w:spacing w:after="200" w:line="276" w:lineRule="auto"/>
    </w:pPr>
    <w:rPr>
      <w:rFonts w:ascii="Calibri" w:hAnsi="Calibri" w:eastAsia="Calibri"/>
      <w:sz w:val="20"/>
      <w:szCs w:val="20"/>
      <w:lang w:eastAsia="en-US"/>
    </w:rPr>
  </w:style>
  <w:style w:type="character" w:styleId="CommentTextChar" w:customStyle="1">
    <w:name w:val="Comment Text Char"/>
    <w:basedOn w:val="DefaultParagraphFont"/>
    <w:link w:val="CommentText"/>
    <w:uiPriority w:val="99"/>
    <w:rsid w:val="008E77B1"/>
    <w:rPr>
      <w:rFonts w:ascii="Calibri" w:hAnsi="Calibri" w:eastAsia="Calibri" w:cs="Times New Roman"/>
      <w:sz w:val="20"/>
      <w:szCs w:val="20"/>
    </w:rPr>
  </w:style>
  <w:style w:type="character" w:styleId="Strong">
    <w:name w:val="Strong"/>
    <w:basedOn w:val="DefaultParagraphFont"/>
    <w:uiPriority w:val="22"/>
    <w:qFormat/>
    <w:rsid w:val="00553807"/>
    <w:rPr>
      <w:b/>
      <w:bCs/>
    </w:rPr>
  </w:style>
  <w:style w:type="character" w:styleId="org" w:customStyle="1">
    <w:name w:val="org"/>
    <w:basedOn w:val="DefaultParagraphFont"/>
    <w:rsid w:val="00553807"/>
  </w:style>
  <w:style w:type="character" w:styleId="headline" w:customStyle="1">
    <w:name w:val="headline"/>
    <w:basedOn w:val="DefaultParagraphFont"/>
    <w:rsid w:val="00553807"/>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3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hyperlink" Target="http://www.rpharms.com/" TargetMode="Externa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qaa.ac.uk/the-quality-code/subject-benchmark-statements/chemistry" TargetMode="External" Id="rId11" /><Relationship Type="http://schemas.openxmlformats.org/officeDocument/2006/relationships/styles" Target="styles.xml" Id="rId5" /><Relationship Type="http://schemas.openxmlformats.org/officeDocument/2006/relationships/footer" Target="footer2.xml" Id="rId15" /><Relationship Type="http://schemas.microsoft.com/office/2020/10/relationships/intelligence" Target="intelligence2.xml" Id="rId23" /><Relationship Type="http://schemas.openxmlformats.org/officeDocument/2006/relationships/image" Target="media/image1.png" Id="rId10" /><Relationship Type="http://schemas.openxmlformats.org/officeDocument/2006/relationships/hyperlink" Target="https://www.kingston.ac.uk/faculties/faculty-of-health-social-care-education/schools/school-of-life-sciences-chemistry-pharmacy/"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7a63fdcb-a5d7-4025-a97e-612a9b618ed3"/>
  </ds:schemaRefs>
</ds:datastoreItem>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43726565-CEFA-4549-B02F-1B4CB4A5F68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Reem Kayyali</cp:lastModifiedBy>
  <cp:revision>34</cp:revision>
  <dcterms:created xsi:type="dcterms:W3CDTF">2023-01-28T15:12:00Z</dcterms:created>
  <dcterms:modified xsi:type="dcterms:W3CDTF">2023-03-11T18:11:19Z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